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8342D" w14:textId="583378E0" w:rsidR="006C1A0F" w:rsidRPr="006C1A0F" w:rsidRDefault="006C1A0F" w:rsidP="006C1A0F">
      <w:pPr>
        <w:widowControl w:val="0"/>
        <w:tabs>
          <w:tab w:val="right" w:pos="9639"/>
        </w:tabs>
        <w:spacing w:after="0"/>
        <w:rPr>
          <w:rFonts w:eastAsia="Times New Roman"/>
          <w:b/>
          <w:bCs/>
          <w:sz w:val="24"/>
          <w:szCs w:val="24"/>
        </w:rPr>
      </w:pPr>
      <w:bookmarkStart w:id="0" w:name="_Hlk510698672"/>
      <w:r w:rsidRPr="006C1A0F">
        <w:rPr>
          <w:rFonts w:eastAsia="Times New Roman"/>
          <w:b/>
          <w:bCs/>
          <w:sz w:val="24"/>
          <w:szCs w:val="24"/>
        </w:rPr>
        <w:t>3GPP TSG RAN WG1 Meeting #10</w:t>
      </w:r>
      <w:r w:rsidR="00D71F9B">
        <w:rPr>
          <w:rFonts w:eastAsia="Times New Roman"/>
          <w:b/>
          <w:bCs/>
          <w:sz w:val="24"/>
          <w:szCs w:val="24"/>
        </w:rPr>
        <w:t>6</w:t>
      </w:r>
      <w:r w:rsidRPr="006C1A0F">
        <w:rPr>
          <w:rFonts w:eastAsia="Times New Roman"/>
          <w:b/>
          <w:bCs/>
          <w:sz w:val="24"/>
          <w:szCs w:val="24"/>
        </w:rPr>
        <w:t>-e</w:t>
      </w:r>
      <w:r w:rsidRPr="006C1A0F">
        <w:rPr>
          <w:rFonts w:eastAsia="Times New Roman"/>
          <w:b/>
          <w:bCs/>
          <w:sz w:val="24"/>
          <w:szCs w:val="24"/>
        </w:rPr>
        <w:tab/>
        <w:t>R1-</w:t>
      </w:r>
      <w:r w:rsidRPr="006C1A0F">
        <w:t xml:space="preserve"> </w:t>
      </w:r>
      <w:r w:rsidR="002544F8" w:rsidRPr="002544F8">
        <w:rPr>
          <w:rFonts w:eastAsia="Times New Roman"/>
          <w:b/>
          <w:bCs/>
          <w:sz w:val="24"/>
          <w:szCs w:val="24"/>
        </w:rPr>
        <w:t>2107323</w:t>
      </w:r>
    </w:p>
    <w:p w14:paraId="0966688F" w14:textId="1AA2CAD8" w:rsidR="006C1A0F" w:rsidRPr="006C1A0F" w:rsidRDefault="00D71F9B" w:rsidP="006C1A0F">
      <w:pPr>
        <w:widowControl w:val="0"/>
        <w:tabs>
          <w:tab w:val="right" w:pos="9639"/>
        </w:tabs>
        <w:spacing w:after="0"/>
        <w:rPr>
          <w:rFonts w:eastAsia="Times New Roman"/>
          <w:b/>
          <w:bCs/>
          <w:sz w:val="24"/>
          <w:szCs w:val="24"/>
        </w:rPr>
      </w:pPr>
      <w:r>
        <w:rPr>
          <w:rFonts w:eastAsia="Times New Roman"/>
          <w:b/>
          <w:bCs/>
          <w:sz w:val="24"/>
          <w:szCs w:val="24"/>
        </w:rPr>
        <w:t>August</w:t>
      </w:r>
      <w:r w:rsidR="006C1A0F" w:rsidRPr="006C1A0F">
        <w:rPr>
          <w:rFonts w:eastAsia="Times New Roman"/>
          <w:b/>
          <w:bCs/>
          <w:sz w:val="24"/>
          <w:szCs w:val="24"/>
        </w:rPr>
        <w:t xml:space="preserve"> </w:t>
      </w:r>
      <w:r w:rsidR="00B61974">
        <w:rPr>
          <w:rFonts w:eastAsia="Times New Roman"/>
          <w:b/>
          <w:bCs/>
          <w:sz w:val="24"/>
          <w:szCs w:val="24"/>
        </w:rPr>
        <w:t>1</w:t>
      </w:r>
      <w:r>
        <w:rPr>
          <w:rFonts w:eastAsia="Times New Roman"/>
          <w:b/>
          <w:bCs/>
          <w:sz w:val="24"/>
          <w:szCs w:val="24"/>
        </w:rPr>
        <w:t>6</w:t>
      </w:r>
      <w:r w:rsidR="006C1A0F" w:rsidRPr="006C1A0F">
        <w:rPr>
          <w:rFonts w:eastAsia="Times New Roman"/>
          <w:b/>
          <w:bCs/>
          <w:sz w:val="24"/>
          <w:szCs w:val="24"/>
          <w:vertAlign w:val="superscript"/>
        </w:rPr>
        <w:t>th</w:t>
      </w:r>
      <w:r w:rsidR="006C1A0F" w:rsidRPr="006C1A0F">
        <w:rPr>
          <w:rFonts w:eastAsia="Times New Roman"/>
          <w:b/>
          <w:bCs/>
          <w:sz w:val="24"/>
          <w:szCs w:val="24"/>
        </w:rPr>
        <w:t xml:space="preserve"> – </w:t>
      </w:r>
      <w:r w:rsidR="00B61974">
        <w:rPr>
          <w:rFonts w:eastAsia="Times New Roman"/>
          <w:b/>
          <w:bCs/>
          <w:sz w:val="24"/>
          <w:szCs w:val="24"/>
        </w:rPr>
        <w:t>2</w:t>
      </w:r>
      <w:r w:rsidR="007F1313">
        <w:rPr>
          <w:rFonts w:eastAsia="Times New Roman"/>
          <w:b/>
          <w:bCs/>
          <w:sz w:val="24"/>
          <w:szCs w:val="24"/>
        </w:rPr>
        <w:t>7</w:t>
      </w:r>
      <w:r w:rsidR="006C1A0F" w:rsidRPr="006C1A0F">
        <w:rPr>
          <w:rFonts w:eastAsia="Times New Roman"/>
          <w:b/>
          <w:bCs/>
          <w:sz w:val="24"/>
          <w:szCs w:val="24"/>
          <w:vertAlign w:val="superscript"/>
        </w:rPr>
        <w:t>th</w:t>
      </w:r>
      <w:r w:rsidR="006C1A0F" w:rsidRPr="006C1A0F">
        <w:rPr>
          <w:rFonts w:eastAsia="Times New Roman"/>
          <w:b/>
          <w:bCs/>
          <w:sz w:val="24"/>
          <w:szCs w:val="24"/>
        </w:rPr>
        <w:t>, 202</w:t>
      </w:r>
      <w:r w:rsidR="00B61974">
        <w:rPr>
          <w:rFonts w:eastAsia="Times New Roman"/>
          <w:b/>
          <w:bCs/>
          <w:sz w:val="24"/>
          <w:szCs w:val="24"/>
        </w:rPr>
        <w:t>1</w:t>
      </w:r>
    </w:p>
    <w:p w14:paraId="38C5F0FE" w14:textId="77777777" w:rsidR="006C1A0F" w:rsidRPr="006C1A0F" w:rsidRDefault="006C1A0F" w:rsidP="006C1A0F">
      <w:pPr>
        <w:widowControl w:val="0"/>
        <w:tabs>
          <w:tab w:val="right" w:pos="9639"/>
        </w:tabs>
        <w:spacing w:after="0"/>
        <w:rPr>
          <w:b/>
          <w:sz w:val="24"/>
          <w:szCs w:val="24"/>
          <w:lang w:eastAsia="zh-CN"/>
        </w:rPr>
      </w:pPr>
    </w:p>
    <w:p w14:paraId="1CBB1F36" w14:textId="77777777" w:rsidR="006C1A0F" w:rsidRPr="006C1A0F" w:rsidRDefault="006C1A0F" w:rsidP="006C1A0F">
      <w:pPr>
        <w:widowControl w:val="0"/>
        <w:spacing w:after="0"/>
        <w:jc w:val="both"/>
        <w:rPr>
          <w:rFonts w:eastAsia="MS Mincho"/>
          <w:b/>
          <w:i/>
          <w:sz w:val="18"/>
        </w:rPr>
      </w:pPr>
    </w:p>
    <w:p w14:paraId="51A91369" w14:textId="77777777" w:rsidR="006C1A0F" w:rsidRPr="006C1A0F" w:rsidRDefault="006C1A0F" w:rsidP="006C1A0F">
      <w:pPr>
        <w:tabs>
          <w:tab w:val="left" w:pos="1985"/>
        </w:tabs>
        <w:jc w:val="both"/>
        <w:rPr>
          <w:sz w:val="24"/>
        </w:rPr>
      </w:pPr>
      <w:r w:rsidRPr="006C1A0F">
        <w:rPr>
          <w:b/>
          <w:sz w:val="24"/>
        </w:rPr>
        <w:t>Agenda item:</w:t>
      </w:r>
      <w:r w:rsidRPr="006C1A0F">
        <w:rPr>
          <w:sz w:val="24"/>
        </w:rPr>
        <w:tab/>
      </w:r>
      <w:bookmarkStart w:id="1" w:name="Source"/>
      <w:bookmarkEnd w:id="1"/>
      <w:r w:rsidRPr="006C1A0F">
        <w:rPr>
          <w:sz w:val="24"/>
        </w:rPr>
        <w:t>8.1.1</w:t>
      </w:r>
    </w:p>
    <w:p w14:paraId="5E5A9735" w14:textId="77777777" w:rsidR="006C1A0F" w:rsidRPr="006C1A0F" w:rsidRDefault="006C1A0F" w:rsidP="006C1A0F">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5467B3F4" w14:textId="77777777" w:rsidR="006C1A0F" w:rsidRPr="006C1A0F" w:rsidRDefault="006C1A0F" w:rsidP="006C1A0F">
      <w:pPr>
        <w:ind w:left="1988" w:hanging="1988"/>
        <w:rPr>
          <w:sz w:val="24"/>
        </w:rPr>
      </w:pPr>
      <w:r w:rsidRPr="006C1A0F">
        <w:rPr>
          <w:b/>
          <w:sz w:val="24"/>
        </w:rPr>
        <w:t>Title:</w:t>
      </w:r>
      <w:r w:rsidRPr="006C1A0F">
        <w:rPr>
          <w:sz w:val="24"/>
        </w:rPr>
        <w:t xml:space="preserve"> </w:t>
      </w:r>
      <w:r w:rsidRPr="006C1A0F">
        <w:rPr>
          <w:sz w:val="22"/>
        </w:rPr>
        <w:tab/>
      </w:r>
      <w:r w:rsidRPr="006C1A0F">
        <w:rPr>
          <w:sz w:val="24"/>
        </w:rPr>
        <w:t>Enhancements on Multi-beam Operation</w:t>
      </w:r>
    </w:p>
    <w:p w14:paraId="296F8078" w14:textId="77777777" w:rsidR="006C1A0F" w:rsidRPr="006C1A0F" w:rsidRDefault="006C1A0F" w:rsidP="006C1A0F">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35A0337E" w14:textId="77777777" w:rsidR="006C1A0F" w:rsidRPr="006C1A0F" w:rsidRDefault="006C1A0F" w:rsidP="006C1A0F">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DE42F94" w14:textId="4ED89758" w:rsidR="006C1A0F" w:rsidRPr="006C1A0F" w:rsidRDefault="006C1A0F" w:rsidP="006C1A0F">
      <w:bookmarkStart w:id="3" w:name="_Hlk54343086"/>
      <w:r w:rsidRPr="006C1A0F">
        <w:rPr>
          <w:lang w:eastAsia="ja-JP"/>
        </w:rPr>
        <w:t>The following agreements have been achieved for multi-beam operation in RAN1 #10</w:t>
      </w:r>
      <w:r w:rsidR="00996E90">
        <w:rPr>
          <w:lang w:eastAsia="ja-JP"/>
        </w:rPr>
        <w:t>5</w:t>
      </w:r>
      <w:r w:rsidRPr="006C1A0F">
        <w:rPr>
          <w:lang w:eastAsia="ja-JP"/>
        </w:rPr>
        <w:t xml:space="preserve">-e.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6C1A0F" w:rsidRPr="006C1A0F" w14:paraId="4CAAE1F0" w14:textId="77777777" w:rsidTr="00016B19">
        <w:trPr>
          <w:trHeight w:val="440"/>
        </w:trPr>
        <w:tc>
          <w:tcPr>
            <w:tcW w:w="9467" w:type="dxa"/>
          </w:tcPr>
          <w:p w14:paraId="1898A6FA" w14:textId="77777777" w:rsidR="009638AE" w:rsidRPr="009638AE" w:rsidRDefault="009638AE" w:rsidP="009638AE">
            <w:pPr>
              <w:snapToGrid w:val="0"/>
              <w:spacing w:after="0"/>
              <w:jc w:val="both"/>
              <w:rPr>
                <w:rFonts w:ascii="Times" w:eastAsia="Batang" w:hAnsi="Times" w:cs="Times"/>
                <w:sz w:val="14"/>
                <w:szCs w:val="14"/>
                <w:highlight w:val="green"/>
              </w:rPr>
            </w:pPr>
            <w:r w:rsidRPr="009638AE">
              <w:rPr>
                <w:rFonts w:ascii="Times" w:eastAsia="Batang" w:hAnsi="Times" w:cs="Times"/>
                <w:b/>
                <w:sz w:val="14"/>
                <w:szCs w:val="14"/>
                <w:highlight w:val="green"/>
              </w:rPr>
              <w:t>Agreement</w:t>
            </w:r>
          </w:p>
          <w:p w14:paraId="334A754D" w14:textId="77777777" w:rsidR="009638AE" w:rsidRPr="009638AE" w:rsidRDefault="009638AE" w:rsidP="009638AE">
            <w:pPr>
              <w:snapToGrid w:val="0"/>
              <w:spacing w:after="0"/>
              <w:jc w:val="both"/>
              <w:rPr>
                <w:rFonts w:ascii="Times" w:eastAsia="Batang" w:hAnsi="Times" w:cs="Times"/>
                <w:sz w:val="14"/>
                <w:szCs w:val="14"/>
              </w:rPr>
            </w:pPr>
            <w:r w:rsidRPr="009638AE">
              <w:rPr>
                <w:rFonts w:ascii="Times" w:eastAsia="Batang" w:hAnsi="Times" w:cs="Times"/>
                <w:sz w:val="14"/>
                <w:szCs w:val="14"/>
              </w:rPr>
              <w:t xml:space="preserve">On Rel-17 DCI-based beam indication, </w:t>
            </w:r>
            <w:r w:rsidRPr="009638AE">
              <w:rPr>
                <w:rFonts w:ascii="Times" w:eastAsia="Batang" w:hAnsi="Times" w:cs="Times"/>
                <w:sz w:val="14"/>
                <w:szCs w:val="14"/>
                <w:lang w:eastAsia="zh-CN"/>
              </w:rPr>
              <w:t>regarding application time of the beam indication, the first slot that is at least X ms or Y symbols after the last symbol of the acknowledgment of the joint or separate DL/UL beam indication.</w:t>
            </w:r>
          </w:p>
          <w:p w14:paraId="4A82D274" w14:textId="77777777" w:rsidR="009638AE" w:rsidRPr="009638AE" w:rsidRDefault="009638AE" w:rsidP="009638AE">
            <w:pPr>
              <w:numPr>
                <w:ilvl w:val="0"/>
                <w:numId w:val="17"/>
              </w:numPr>
              <w:snapToGrid w:val="0"/>
              <w:spacing w:after="0"/>
              <w:jc w:val="both"/>
              <w:rPr>
                <w:rFonts w:ascii="Times" w:eastAsia="Batang" w:hAnsi="Times" w:cs="Times"/>
                <w:b/>
                <w:sz w:val="14"/>
                <w:szCs w:val="14"/>
                <w:u w:val="single"/>
                <w:lang w:eastAsia="x-none"/>
              </w:rPr>
            </w:pPr>
            <w:r w:rsidRPr="009638AE">
              <w:rPr>
                <w:rFonts w:ascii="Times" w:eastAsia="Batang" w:hAnsi="Times" w:cs="Times"/>
                <w:sz w:val="14"/>
                <w:szCs w:val="14"/>
                <w:lang w:eastAsia="x-none"/>
              </w:rPr>
              <w:t>Note: The gap between the last symbol of the beam indication DCI and that first slot shall satisfy the UE capability</w:t>
            </w:r>
          </w:p>
          <w:p w14:paraId="17D090EC" w14:textId="77777777" w:rsidR="009638AE" w:rsidRPr="009638AE" w:rsidRDefault="009638AE" w:rsidP="009638AE">
            <w:pPr>
              <w:numPr>
                <w:ilvl w:val="0"/>
                <w:numId w:val="17"/>
              </w:numPr>
              <w:snapToGrid w:val="0"/>
              <w:spacing w:after="0"/>
              <w:jc w:val="both"/>
              <w:rPr>
                <w:rFonts w:ascii="Times" w:eastAsia="Batang" w:hAnsi="Times" w:cs="Times"/>
                <w:b/>
                <w:sz w:val="14"/>
                <w:szCs w:val="14"/>
                <w:u w:val="single"/>
                <w:lang w:eastAsia="x-none"/>
              </w:rPr>
            </w:pPr>
            <w:r w:rsidRPr="009638AE">
              <w:rPr>
                <w:rFonts w:ascii="Times" w:eastAsia="Batang" w:hAnsi="Times" w:cs="Times"/>
                <w:bCs/>
                <w:sz w:val="14"/>
                <w:szCs w:val="14"/>
                <w:lang w:eastAsia="zh-CN"/>
              </w:rPr>
              <w:t xml:space="preserve">FFS: </w:t>
            </w:r>
            <w:r w:rsidRPr="009638AE">
              <w:rPr>
                <w:rFonts w:ascii="Times" w:eastAsia="Batang" w:hAnsi="Times" w:cs="Times"/>
                <w:sz w:val="14"/>
                <w:szCs w:val="14"/>
                <w:lang w:eastAsia="zh-CN"/>
              </w:rPr>
              <w:t xml:space="preserve">Application time and </w:t>
            </w:r>
            <w:r w:rsidRPr="009638AE">
              <w:rPr>
                <w:rFonts w:ascii="Times" w:eastAsia="Batang" w:hAnsi="Times" w:cs="Times"/>
                <w:bCs/>
                <w:sz w:val="14"/>
                <w:szCs w:val="14"/>
                <w:lang w:eastAsia="zh-CN"/>
              </w:rPr>
              <w:t xml:space="preserve">whether additional offset is needed for the application time in case of cross carrier beam indication and </w:t>
            </w:r>
            <w:r w:rsidRPr="009638AE">
              <w:rPr>
                <w:rFonts w:ascii="Times" w:eastAsia="Batang" w:hAnsi="Times" w:cs="Times"/>
                <w:sz w:val="14"/>
                <w:szCs w:val="14"/>
                <w:lang w:eastAsia="zh-CN"/>
              </w:rPr>
              <w:t>common TCI state ID update across a set of configured CCs if CCs have different SCSs</w:t>
            </w:r>
            <w:r w:rsidRPr="009638AE" w:rsidDel="00F356C9">
              <w:rPr>
                <w:rFonts w:ascii="Times" w:eastAsia="Batang" w:hAnsi="Times" w:cs="Times"/>
                <w:bCs/>
                <w:sz w:val="14"/>
                <w:szCs w:val="14"/>
                <w:lang w:eastAsia="zh-CN"/>
              </w:rPr>
              <w:t xml:space="preserve"> </w:t>
            </w:r>
          </w:p>
          <w:p w14:paraId="37546CFA" w14:textId="77777777" w:rsidR="009638AE" w:rsidRPr="009638AE" w:rsidRDefault="009638AE" w:rsidP="009638AE">
            <w:pPr>
              <w:numPr>
                <w:ilvl w:val="0"/>
                <w:numId w:val="17"/>
              </w:numPr>
              <w:snapToGrid w:val="0"/>
              <w:spacing w:after="0"/>
              <w:jc w:val="both"/>
              <w:rPr>
                <w:rFonts w:ascii="Times" w:eastAsia="Batang" w:hAnsi="Times" w:cs="Times"/>
                <w:b/>
                <w:sz w:val="14"/>
                <w:szCs w:val="14"/>
                <w:u w:val="single"/>
                <w:lang w:eastAsia="x-none"/>
              </w:rPr>
            </w:pPr>
            <w:r w:rsidRPr="009638AE">
              <w:rPr>
                <w:rFonts w:ascii="Times" w:eastAsia="Batang" w:hAnsi="Times" w:cs="Times"/>
                <w:bCs/>
                <w:sz w:val="14"/>
                <w:szCs w:val="14"/>
                <w:lang w:eastAsia="zh-CN"/>
              </w:rPr>
              <w:t>FFS: Whether inter-cell beam switching needs higher X/Y values than intra-cell</w:t>
            </w:r>
          </w:p>
          <w:p w14:paraId="3CE571FC" w14:textId="77777777" w:rsidR="009638AE" w:rsidRPr="009638AE" w:rsidRDefault="009638AE" w:rsidP="009638AE">
            <w:pPr>
              <w:numPr>
                <w:ilvl w:val="0"/>
                <w:numId w:val="17"/>
              </w:numPr>
              <w:snapToGrid w:val="0"/>
              <w:spacing w:after="0"/>
              <w:jc w:val="both"/>
              <w:rPr>
                <w:rFonts w:ascii="Times" w:eastAsia="Batang" w:hAnsi="Times" w:cs="Times"/>
                <w:b/>
                <w:sz w:val="14"/>
                <w:szCs w:val="14"/>
                <w:u w:val="single"/>
                <w:lang w:eastAsia="x-none"/>
              </w:rPr>
            </w:pPr>
            <w:r w:rsidRPr="009638AE">
              <w:rPr>
                <w:rFonts w:ascii="Times" w:eastAsia="Batang" w:hAnsi="Times" w:cs="Times"/>
                <w:bCs/>
                <w:sz w:val="14"/>
                <w:szCs w:val="14"/>
                <w:lang w:eastAsia="zh-CN"/>
              </w:rPr>
              <w:t>FFS: Whether application time can be indicated/determined dynamically for different scenarios, e.g. cross CC, inter-cell, inter-panel without reverting previous RAN1 agreements</w:t>
            </w:r>
          </w:p>
          <w:p w14:paraId="4952AF1B" w14:textId="77777777" w:rsidR="009638AE" w:rsidRPr="009638AE" w:rsidRDefault="009638AE" w:rsidP="009638AE">
            <w:pPr>
              <w:spacing w:after="0"/>
              <w:rPr>
                <w:rFonts w:ascii="Times" w:eastAsia="Batang" w:hAnsi="Times" w:cs="Times"/>
                <w:sz w:val="14"/>
                <w:szCs w:val="18"/>
              </w:rPr>
            </w:pPr>
          </w:p>
          <w:p w14:paraId="0414817E" w14:textId="77777777" w:rsidR="009638AE" w:rsidRPr="009638AE" w:rsidRDefault="009638AE" w:rsidP="009638AE">
            <w:pPr>
              <w:snapToGrid w:val="0"/>
              <w:spacing w:after="0"/>
              <w:jc w:val="both"/>
              <w:rPr>
                <w:rFonts w:ascii="Times" w:eastAsia="Batang" w:hAnsi="Times" w:cs="Times"/>
                <w:sz w:val="14"/>
                <w:szCs w:val="14"/>
                <w:highlight w:val="green"/>
              </w:rPr>
            </w:pPr>
            <w:r w:rsidRPr="009638AE">
              <w:rPr>
                <w:rFonts w:ascii="Times" w:eastAsia="Batang" w:hAnsi="Times" w:cs="Times"/>
                <w:b/>
                <w:sz w:val="14"/>
                <w:szCs w:val="14"/>
                <w:highlight w:val="green"/>
              </w:rPr>
              <w:t>Agreement</w:t>
            </w:r>
          </w:p>
          <w:p w14:paraId="21B87AB8" w14:textId="77777777" w:rsidR="009638AE" w:rsidRPr="009638AE" w:rsidRDefault="009638AE" w:rsidP="009638AE">
            <w:pPr>
              <w:snapToGrid w:val="0"/>
              <w:spacing w:after="0"/>
              <w:jc w:val="both"/>
              <w:rPr>
                <w:rFonts w:ascii="Times" w:eastAsia="Batang" w:hAnsi="Times" w:cs="Times"/>
                <w:sz w:val="14"/>
                <w:szCs w:val="14"/>
                <w:lang w:eastAsia="x-none"/>
              </w:rPr>
            </w:pPr>
            <w:r w:rsidRPr="009638AE">
              <w:rPr>
                <w:rFonts w:ascii="Times" w:eastAsia="Batang" w:hAnsi="Times" w:cs="Times"/>
                <w:sz w:val="14"/>
                <w:szCs w:val="14"/>
              </w:rPr>
              <w:t xml:space="preserve">For </w:t>
            </w:r>
            <w:r w:rsidRPr="009638AE">
              <w:rPr>
                <w:rFonts w:ascii="Times" w:eastAsia="Batang" w:hAnsi="Times" w:cs="Times"/>
                <w:bCs/>
                <w:sz w:val="14"/>
                <w:szCs w:val="12"/>
                <w:lang w:eastAsia="zh-CN"/>
              </w:rPr>
              <w:t>M=N=1, o</w:t>
            </w:r>
            <w:r w:rsidRPr="009638AE">
              <w:rPr>
                <w:rFonts w:ascii="Times" w:eastAsia="Batang" w:hAnsi="Times" w:cs="Times"/>
                <w:sz w:val="14"/>
                <w:szCs w:val="14"/>
              </w:rPr>
              <w:t xml:space="preserve">n Rel-17 unified TCI, for separate DL/UL TCI, </w:t>
            </w:r>
            <w:r w:rsidRPr="009638AE">
              <w:rPr>
                <w:rFonts w:ascii="Times" w:eastAsia="Batang" w:hAnsi="Times" w:cs="Times"/>
                <w:sz w:val="14"/>
                <w:szCs w:val="14"/>
                <w:lang w:eastAsia="x-none"/>
              </w:rPr>
              <w:t xml:space="preserve">one instance of beam indication using DCI formats 1_1/1_2 (with and without DL assignment) can be used as follows: </w:t>
            </w:r>
          </w:p>
          <w:p w14:paraId="3D48A44F" w14:textId="77777777" w:rsidR="009638AE" w:rsidRPr="009638AE" w:rsidRDefault="009638AE" w:rsidP="009638AE">
            <w:pPr>
              <w:numPr>
                <w:ilvl w:val="0"/>
                <w:numId w:val="17"/>
              </w:numPr>
              <w:snapToGrid w:val="0"/>
              <w:spacing w:after="0"/>
              <w:jc w:val="both"/>
              <w:rPr>
                <w:rFonts w:ascii="Times" w:eastAsia="Batang" w:hAnsi="Times" w:cs="Times"/>
                <w:sz w:val="14"/>
                <w:szCs w:val="14"/>
                <w:lang w:eastAsia="x-none"/>
              </w:rPr>
            </w:pPr>
            <w:r w:rsidRPr="009638AE">
              <w:rPr>
                <w:rFonts w:ascii="Times" w:eastAsia="Batang" w:hAnsi="Times" w:cs="Times"/>
                <w:sz w:val="14"/>
                <w:szCs w:val="14"/>
                <w:lang w:eastAsia="x-none"/>
              </w:rPr>
              <w:t>One TCI field codepoint represents a pair of DL TCI state and UL TCI state. If the DCI indicates such a TCI field codepoint, the UE applies the corresponding DL TCI state and UL TCI state.</w:t>
            </w:r>
          </w:p>
          <w:p w14:paraId="26D43EC5" w14:textId="77777777" w:rsidR="009638AE" w:rsidRPr="009638AE" w:rsidRDefault="009638AE" w:rsidP="009638AE">
            <w:pPr>
              <w:numPr>
                <w:ilvl w:val="0"/>
                <w:numId w:val="17"/>
              </w:numPr>
              <w:snapToGrid w:val="0"/>
              <w:spacing w:after="0"/>
              <w:jc w:val="both"/>
              <w:rPr>
                <w:rFonts w:ascii="Times" w:eastAsia="Batang" w:hAnsi="Times" w:cs="Times"/>
                <w:sz w:val="14"/>
                <w:szCs w:val="14"/>
                <w:lang w:eastAsia="x-none"/>
              </w:rPr>
            </w:pPr>
            <w:r w:rsidRPr="009638AE">
              <w:rPr>
                <w:rFonts w:ascii="Times" w:eastAsia="Batang" w:hAnsi="Times" w:cs="Times"/>
                <w:sz w:val="14"/>
                <w:szCs w:val="14"/>
                <w:lang w:eastAsia="x-none"/>
              </w:rPr>
              <w:t>One TCI field codepoint represents only a DL TCI state. If the DCI indicates such a TCI field codepoint, the UE applies the corresponding DL TCI state, and keeps the current UL TCI state.</w:t>
            </w:r>
          </w:p>
          <w:p w14:paraId="3778DDC3" w14:textId="77777777" w:rsidR="009638AE" w:rsidRPr="009638AE" w:rsidRDefault="009638AE" w:rsidP="009638AE">
            <w:pPr>
              <w:numPr>
                <w:ilvl w:val="0"/>
                <w:numId w:val="17"/>
              </w:numPr>
              <w:snapToGrid w:val="0"/>
              <w:spacing w:after="0"/>
              <w:jc w:val="both"/>
              <w:rPr>
                <w:rFonts w:ascii="Times" w:eastAsia="Batang" w:hAnsi="Times" w:cs="Times"/>
                <w:sz w:val="14"/>
                <w:szCs w:val="14"/>
                <w:lang w:eastAsia="x-none"/>
              </w:rPr>
            </w:pPr>
            <w:r w:rsidRPr="009638AE">
              <w:rPr>
                <w:rFonts w:ascii="Times" w:eastAsia="Batang" w:hAnsi="Times" w:cs="Times"/>
                <w:sz w:val="14"/>
                <w:szCs w:val="14"/>
                <w:lang w:eastAsia="x-none"/>
              </w:rPr>
              <w:t>One TCI field codepoint represents only an UL TCI state. If the DCI indicates such a TCI field codepoint, the UE applies the corresponding UL TCI state, and keeps the current DL TCI state.</w:t>
            </w:r>
          </w:p>
          <w:p w14:paraId="32E065A5" w14:textId="77777777" w:rsidR="009638AE" w:rsidRPr="009638AE" w:rsidRDefault="009638AE" w:rsidP="009638AE">
            <w:pPr>
              <w:snapToGrid w:val="0"/>
              <w:spacing w:after="0"/>
              <w:rPr>
                <w:rFonts w:ascii="Times" w:eastAsia="Batang" w:hAnsi="Times" w:cs="Times"/>
                <w:szCs w:val="18"/>
              </w:rPr>
            </w:pPr>
            <w:r w:rsidRPr="009638AE">
              <w:rPr>
                <w:rFonts w:ascii="Times" w:eastAsia="Batang" w:hAnsi="Times" w:cs="Times"/>
                <w:bCs/>
                <w:sz w:val="14"/>
                <w:szCs w:val="12"/>
                <w:lang w:eastAsia="zh-CN"/>
              </w:rPr>
              <w:t>FFS: the cases of M or N&gt;1</w:t>
            </w:r>
          </w:p>
          <w:p w14:paraId="65A842AE" w14:textId="77777777" w:rsidR="009638AE" w:rsidRPr="009638AE" w:rsidRDefault="009638AE" w:rsidP="009638AE">
            <w:pPr>
              <w:spacing w:after="0"/>
              <w:rPr>
                <w:rFonts w:ascii="Times" w:eastAsia="Batang" w:hAnsi="Times" w:cs="Times"/>
                <w:sz w:val="14"/>
                <w:szCs w:val="18"/>
              </w:rPr>
            </w:pPr>
          </w:p>
          <w:p w14:paraId="031301F4" w14:textId="77777777" w:rsidR="009638AE" w:rsidRPr="009638AE" w:rsidRDefault="009638AE" w:rsidP="009638AE">
            <w:pPr>
              <w:snapToGrid w:val="0"/>
              <w:spacing w:after="0"/>
              <w:jc w:val="both"/>
              <w:rPr>
                <w:rFonts w:ascii="Times" w:eastAsia="Batang" w:hAnsi="Times" w:cs="Times"/>
                <w:sz w:val="14"/>
                <w:szCs w:val="14"/>
                <w:highlight w:val="green"/>
              </w:rPr>
            </w:pPr>
            <w:r w:rsidRPr="009638AE">
              <w:rPr>
                <w:rFonts w:ascii="Times" w:eastAsia="Batang" w:hAnsi="Times" w:cs="Times"/>
                <w:b/>
                <w:sz w:val="14"/>
                <w:szCs w:val="14"/>
                <w:highlight w:val="green"/>
              </w:rPr>
              <w:t>Agreement</w:t>
            </w:r>
          </w:p>
          <w:p w14:paraId="0B3EA0F8" w14:textId="77777777" w:rsidR="009638AE" w:rsidRPr="009638AE" w:rsidRDefault="009638AE" w:rsidP="009638AE">
            <w:pPr>
              <w:snapToGrid w:val="0"/>
              <w:spacing w:after="0"/>
              <w:jc w:val="both"/>
              <w:rPr>
                <w:rFonts w:ascii="Times" w:eastAsia="Batang" w:hAnsi="Times" w:cs="Times"/>
                <w:sz w:val="14"/>
                <w:szCs w:val="14"/>
                <w:lang w:eastAsia="zh-CN"/>
              </w:rPr>
            </w:pPr>
            <w:r w:rsidRPr="009638AE">
              <w:rPr>
                <w:rFonts w:ascii="Times" w:eastAsia="Batang" w:hAnsi="Times" w:cs="Times"/>
                <w:sz w:val="14"/>
                <w:szCs w:val="14"/>
                <w:lang w:eastAsia="zh-CN"/>
              </w:rPr>
              <w:t>On Rel.17 enhancements to facilitate advanced beam refinement/tracking, focus study (including down-selection) and, if needed, specification effort on the following options:</w:t>
            </w:r>
          </w:p>
          <w:p w14:paraId="7CB20DD4" w14:textId="77777777" w:rsidR="009638AE" w:rsidRPr="009638AE" w:rsidRDefault="009638AE" w:rsidP="009638AE">
            <w:pPr>
              <w:numPr>
                <w:ilvl w:val="0"/>
                <w:numId w:val="18"/>
              </w:numPr>
              <w:snapToGrid w:val="0"/>
              <w:spacing w:after="0"/>
              <w:jc w:val="both"/>
              <w:rPr>
                <w:rFonts w:ascii="Times" w:eastAsia="Malgun Gothic" w:hAnsi="Times" w:cs="Times"/>
                <w:sz w:val="14"/>
                <w:szCs w:val="14"/>
                <w:lang w:eastAsia="zh-CN"/>
              </w:rPr>
            </w:pPr>
            <w:r w:rsidRPr="009638AE">
              <w:rPr>
                <w:rFonts w:ascii="Times" w:eastAsia="Batang" w:hAnsi="Times" w:cs="Times"/>
                <w:sz w:val="14"/>
                <w:szCs w:val="14"/>
                <w:lang w:eastAsia="x-none"/>
              </w:rPr>
              <w:t xml:space="preserve">Group 1: </w:t>
            </w:r>
            <w:r w:rsidRPr="009638AE">
              <w:rPr>
                <w:rFonts w:ascii="Times" w:eastAsia="Batang" w:hAnsi="Times" w:cs="Times"/>
                <w:sz w:val="14"/>
                <w:szCs w:val="12"/>
                <w:lang w:eastAsia="zh-CN"/>
              </w:rPr>
              <w:t>Aim for at most one solution for Group 1 in Rel-17 to address issue 6</w:t>
            </w:r>
          </w:p>
          <w:p w14:paraId="55C976A4" w14:textId="77777777" w:rsidR="009638AE" w:rsidRPr="009638AE" w:rsidRDefault="009638AE" w:rsidP="009638AE">
            <w:pPr>
              <w:numPr>
                <w:ilvl w:val="1"/>
                <w:numId w:val="18"/>
              </w:numPr>
              <w:snapToGrid w:val="0"/>
              <w:spacing w:after="0"/>
              <w:jc w:val="both"/>
              <w:rPr>
                <w:rFonts w:ascii="Times" w:eastAsia="Malgun Gothic" w:hAnsi="Times" w:cs="Times"/>
                <w:sz w:val="14"/>
                <w:szCs w:val="14"/>
                <w:lang w:eastAsia="zh-CN"/>
              </w:rPr>
            </w:pPr>
            <w:r w:rsidRPr="009638AE">
              <w:rPr>
                <w:rFonts w:ascii="Times" w:eastAsia="Batang" w:hAnsi="Times" w:cs="Times"/>
                <w:sz w:val="14"/>
                <w:szCs w:val="14"/>
                <w:lang w:eastAsia="x-none"/>
              </w:rPr>
              <w:t>Opt 1-A. UE-initiated beam selection/activation based on beam measurement and/or reporting (without beam indication or activation from NW)</w:t>
            </w:r>
          </w:p>
          <w:p w14:paraId="2CD94D38" w14:textId="77777777" w:rsidR="009638AE" w:rsidRPr="009638AE" w:rsidRDefault="009638AE" w:rsidP="009638AE">
            <w:pPr>
              <w:numPr>
                <w:ilvl w:val="1"/>
                <w:numId w:val="18"/>
              </w:numPr>
              <w:snapToGrid w:val="0"/>
              <w:spacing w:after="0"/>
              <w:jc w:val="both"/>
              <w:rPr>
                <w:rFonts w:ascii="Times" w:eastAsia="Malgun Gothic" w:hAnsi="Times" w:cs="Times"/>
                <w:sz w:val="14"/>
                <w:szCs w:val="14"/>
                <w:lang w:eastAsia="zh-CN"/>
              </w:rPr>
            </w:pPr>
            <w:r w:rsidRPr="009638AE">
              <w:rPr>
                <w:rFonts w:ascii="Times" w:eastAsia="Batang" w:hAnsi="Times" w:cs="Times"/>
                <w:sz w:val="14"/>
                <w:szCs w:val="14"/>
                <w:lang w:eastAsia="x-none"/>
              </w:rPr>
              <w:t>Opt 1-B. Beam measurement/reporting/refinement/selection triggered by beam indication (without CSI request)</w:t>
            </w:r>
          </w:p>
          <w:p w14:paraId="27741671" w14:textId="77777777" w:rsidR="009638AE" w:rsidRPr="009638AE" w:rsidRDefault="009638AE" w:rsidP="009638AE">
            <w:pPr>
              <w:numPr>
                <w:ilvl w:val="1"/>
                <w:numId w:val="18"/>
              </w:numPr>
              <w:snapToGrid w:val="0"/>
              <w:spacing w:after="0"/>
              <w:jc w:val="both"/>
              <w:rPr>
                <w:rFonts w:ascii="Times" w:eastAsia="Malgun Gothic" w:hAnsi="Times" w:cs="Times"/>
                <w:sz w:val="14"/>
                <w:szCs w:val="14"/>
                <w:lang w:eastAsia="zh-CN"/>
              </w:rPr>
            </w:pPr>
            <w:r w:rsidRPr="009638AE">
              <w:rPr>
                <w:rFonts w:ascii="Times" w:eastAsia="Batang" w:hAnsi="Times" w:cs="Times"/>
                <w:sz w:val="14"/>
                <w:szCs w:val="14"/>
                <w:lang w:eastAsia="x-none"/>
              </w:rPr>
              <w:t>Opt 1-C. Aperiodic beam measurement/reporting based on multiple resource sets for reducing beam measurement latency</w:t>
            </w:r>
          </w:p>
          <w:p w14:paraId="2B8DB043" w14:textId="77777777" w:rsidR="009638AE" w:rsidRPr="009638AE" w:rsidRDefault="009638AE" w:rsidP="009638AE">
            <w:pPr>
              <w:numPr>
                <w:ilvl w:val="0"/>
                <w:numId w:val="18"/>
              </w:numPr>
              <w:snapToGrid w:val="0"/>
              <w:spacing w:after="0"/>
              <w:jc w:val="both"/>
              <w:rPr>
                <w:rFonts w:ascii="Times" w:eastAsia="Batang" w:hAnsi="Times" w:cs="Times"/>
                <w:sz w:val="14"/>
                <w:szCs w:val="14"/>
                <w:lang w:eastAsia="x-none"/>
              </w:rPr>
            </w:pPr>
            <w:r w:rsidRPr="009638AE">
              <w:rPr>
                <w:rFonts w:ascii="Times" w:eastAsia="Batang" w:hAnsi="Times" w:cs="Times"/>
                <w:sz w:val="14"/>
                <w:szCs w:val="14"/>
                <w:lang w:eastAsia="x-none"/>
              </w:rPr>
              <w:t xml:space="preserve">Group 2: </w:t>
            </w:r>
            <w:r w:rsidRPr="009638AE">
              <w:rPr>
                <w:rFonts w:ascii="Times" w:eastAsia="Batang" w:hAnsi="Times" w:cs="Times"/>
                <w:sz w:val="14"/>
                <w:szCs w:val="12"/>
                <w:lang w:eastAsia="zh-CN"/>
              </w:rPr>
              <w:t>Aim for at most one solution for Group 2 in Rel-17 to address issue 6</w:t>
            </w:r>
          </w:p>
          <w:p w14:paraId="75AFD18E" w14:textId="77777777" w:rsidR="009638AE" w:rsidRPr="009638AE" w:rsidRDefault="009638AE" w:rsidP="009638AE">
            <w:pPr>
              <w:numPr>
                <w:ilvl w:val="1"/>
                <w:numId w:val="18"/>
              </w:numPr>
              <w:snapToGrid w:val="0"/>
              <w:spacing w:after="0"/>
              <w:jc w:val="both"/>
              <w:rPr>
                <w:rFonts w:ascii="Times" w:eastAsia="Batang" w:hAnsi="Times" w:cs="Times"/>
                <w:sz w:val="14"/>
                <w:szCs w:val="14"/>
                <w:lang w:eastAsia="x-none"/>
              </w:rPr>
            </w:pPr>
            <w:r w:rsidRPr="009638AE">
              <w:rPr>
                <w:rFonts w:ascii="Times" w:eastAsia="Batang" w:hAnsi="Times" w:cs="Times"/>
                <w:sz w:val="14"/>
                <w:szCs w:val="14"/>
                <w:lang w:eastAsia="x-none"/>
              </w:rPr>
              <w:t>Opt 2-A: Latency reduction for MAC CE based TCI state activation, or frequency/time/beam tracking</w:t>
            </w:r>
          </w:p>
          <w:p w14:paraId="75071EE8" w14:textId="77777777" w:rsidR="009638AE" w:rsidRPr="009638AE" w:rsidRDefault="009638AE" w:rsidP="009638AE">
            <w:pPr>
              <w:numPr>
                <w:ilvl w:val="1"/>
                <w:numId w:val="18"/>
              </w:numPr>
              <w:snapToGrid w:val="0"/>
              <w:spacing w:after="0"/>
              <w:jc w:val="both"/>
              <w:rPr>
                <w:rFonts w:ascii="Times" w:eastAsia="Batang" w:hAnsi="Times" w:cs="Times"/>
                <w:sz w:val="14"/>
                <w:szCs w:val="14"/>
                <w:lang w:eastAsia="x-none"/>
              </w:rPr>
            </w:pPr>
            <w:r w:rsidRPr="009638AE">
              <w:rPr>
                <w:rFonts w:ascii="Times" w:eastAsia="Batang" w:hAnsi="Times" w:cs="Times"/>
                <w:sz w:val="14"/>
                <w:szCs w:val="14"/>
                <w:lang w:eastAsia="x-none"/>
              </w:rPr>
              <w:t>Opt 2-B: Latency reduction for MAC CE based PL-RS activation</w:t>
            </w:r>
          </w:p>
          <w:p w14:paraId="2D39A0E5" w14:textId="77777777" w:rsidR="009638AE" w:rsidRPr="009638AE" w:rsidRDefault="009638AE" w:rsidP="009638AE">
            <w:pPr>
              <w:numPr>
                <w:ilvl w:val="1"/>
                <w:numId w:val="18"/>
              </w:numPr>
              <w:snapToGrid w:val="0"/>
              <w:spacing w:after="0"/>
              <w:jc w:val="both"/>
              <w:rPr>
                <w:rFonts w:ascii="Times" w:eastAsia="Batang" w:hAnsi="Times" w:cs="Times"/>
                <w:sz w:val="14"/>
                <w:szCs w:val="14"/>
                <w:lang w:eastAsia="x-none"/>
              </w:rPr>
            </w:pPr>
            <w:r w:rsidRPr="009638AE">
              <w:rPr>
                <w:rFonts w:ascii="Times" w:eastAsia="Batang" w:hAnsi="Times" w:cs="Times"/>
                <w:sz w:val="14"/>
                <w:szCs w:val="14"/>
                <w:lang w:eastAsia="x-none"/>
              </w:rPr>
              <w:t>Opt 2-C: One-shot timing update for TCI state update</w:t>
            </w:r>
          </w:p>
          <w:p w14:paraId="61D0BFF5" w14:textId="77777777" w:rsidR="009638AE" w:rsidRPr="009638AE" w:rsidRDefault="009638AE" w:rsidP="009638AE">
            <w:pPr>
              <w:spacing w:after="0"/>
              <w:rPr>
                <w:rFonts w:ascii="Times" w:eastAsia="Batang" w:hAnsi="Times" w:cs="Times"/>
                <w:sz w:val="14"/>
                <w:szCs w:val="18"/>
              </w:rPr>
            </w:pPr>
          </w:p>
          <w:p w14:paraId="206102E8" w14:textId="77777777" w:rsidR="009638AE" w:rsidRPr="009638AE" w:rsidRDefault="009638AE" w:rsidP="009638AE">
            <w:pPr>
              <w:snapToGrid w:val="0"/>
              <w:spacing w:after="0"/>
              <w:jc w:val="both"/>
              <w:rPr>
                <w:rFonts w:ascii="Times" w:eastAsia="Batang" w:hAnsi="Times" w:cs="Times"/>
                <w:sz w:val="14"/>
                <w:szCs w:val="14"/>
                <w:highlight w:val="green"/>
              </w:rPr>
            </w:pPr>
            <w:r w:rsidRPr="009638AE">
              <w:rPr>
                <w:rFonts w:ascii="Times" w:eastAsia="Batang" w:hAnsi="Times" w:cs="Times"/>
                <w:b/>
                <w:sz w:val="14"/>
                <w:szCs w:val="14"/>
                <w:highlight w:val="green"/>
              </w:rPr>
              <w:t>Agreement</w:t>
            </w:r>
          </w:p>
          <w:p w14:paraId="44B93D25" w14:textId="77777777" w:rsidR="009638AE" w:rsidRPr="009638AE" w:rsidRDefault="009638AE" w:rsidP="009638AE">
            <w:pPr>
              <w:snapToGrid w:val="0"/>
              <w:spacing w:after="0"/>
              <w:jc w:val="both"/>
              <w:rPr>
                <w:rFonts w:ascii="Times" w:eastAsia="Batang" w:hAnsi="Times" w:cs="Times"/>
                <w:sz w:val="14"/>
                <w:szCs w:val="14"/>
              </w:rPr>
            </w:pPr>
            <w:r w:rsidRPr="009638AE">
              <w:rPr>
                <w:rFonts w:ascii="Times" w:eastAsia="Batang" w:hAnsi="Times" w:cs="Times"/>
                <w:sz w:val="14"/>
                <w:szCs w:val="14"/>
              </w:rPr>
              <w:t>On path-loss measurement for Rel.17 unified TCI framework</w:t>
            </w:r>
            <w:r w:rsidRPr="009638AE">
              <w:rPr>
                <w:rFonts w:ascii="Times" w:eastAsia="Batang" w:hAnsi="Times" w:cs="Times"/>
                <w:sz w:val="14"/>
                <w:szCs w:val="14"/>
                <w:lang w:eastAsia="ja-JP"/>
              </w:rPr>
              <w:t>, a PL-RS (configured for path-loss calculation) is either included in </w:t>
            </w:r>
            <w:r w:rsidRPr="009638AE">
              <w:rPr>
                <w:rFonts w:ascii="Times" w:eastAsia="Batang" w:hAnsi="Times" w:cs="Times"/>
                <w:sz w:val="14"/>
                <w:szCs w:val="14"/>
                <w:lang w:eastAsia="zh-CN"/>
              </w:rPr>
              <w:t xml:space="preserve">UL </w:t>
            </w:r>
            <w:r w:rsidRPr="009638AE">
              <w:rPr>
                <w:rFonts w:ascii="Times" w:eastAsia="Batang" w:hAnsi="Times" w:cs="Times"/>
                <w:sz w:val="14"/>
                <w:szCs w:val="14"/>
                <w:lang w:eastAsia="ja-JP"/>
              </w:rPr>
              <w:t>TCI state</w:t>
            </w:r>
            <w:r w:rsidRPr="009638AE">
              <w:rPr>
                <w:rFonts w:ascii="Times" w:eastAsia="Batang" w:hAnsi="Times" w:cs="Times"/>
                <w:sz w:val="14"/>
                <w:szCs w:val="14"/>
                <w:lang w:eastAsia="zh-CN"/>
              </w:rPr>
              <w:t xml:space="preserve"> or (if applicable) joint TCI state</w:t>
            </w:r>
            <w:r w:rsidRPr="009638AE">
              <w:rPr>
                <w:rFonts w:ascii="Times" w:eastAsia="Batang" w:hAnsi="Times" w:cs="Times"/>
                <w:sz w:val="14"/>
                <w:szCs w:val="14"/>
                <w:lang w:eastAsia="ja-JP"/>
              </w:rPr>
              <w:t xml:space="preserve"> or associated with UL TCI state or (if applicable) joint TCI state.</w:t>
            </w:r>
          </w:p>
          <w:p w14:paraId="116B9D7E" w14:textId="77777777" w:rsidR="009638AE" w:rsidRPr="009638AE" w:rsidRDefault="009638AE" w:rsidP="009638AE">
            <w:pPr>
              <w:numPr>
                <w:ilvl w:val="0"/>
                <w:numId w:val="20"/>
              </w:numPr>
              <w:snapToGrid w:val="0"/>
              <w:spacing w:after="0"/>
              <w:jc w:val="both"/>
              <w:rPr>
                <w:rFonts w:ascii="Times" w:eastAsia="Batang" w:hAnsi="Times" w:cs="Times"/>
                <w:sz w:val="14"/>
                <w:szCs w:val="14"/>
                <w:lang w:eastAsia="ko-KR"/>
              </w:rPr>
            </w:pPr>
            <w:r w:rsidRPr="009638AE">
              <w:rPr>
                <w:rFonts w:ascii="Times" w:eastAsia="Times New Roman" w:hAnsi="Times" w:cs="Times"/>
                <w:sz w:val="14"/>
                <w:szCs w:val="14"/>
                <w:lang w:eastAsia="x-none"/>
              </w:rPr>
              <w:t>Whether a UE supports “beam misalignment or not” (detailed definition FFS) between </w:t>
            </w:r>
            <w:r w:rsidRPr="009638AE">
              <w:rPr>
                <w:rFonts w:ascii="Times" w:eastAsia="Batang" w:hAnsi="Times" w:cs="Times"/>
                <w:sz w:val="14"/>
                <w:szCs w:val="14"/>
                <w:lang w:eastAsia="ja-JP"/>
              </w:rPr>
              <w:t xml:space="preserve">the DL </w:t>
            </w:r>
            <w:r w:rsidRPr="009638AE">
              <w:rPr>
                <w:rFonts w:ascii="Times" w:eastAsia="Times New Roman" w:hAnsi="Times" w:cs="Times"/>
                <w:sz w:val="14"/>
                <w:szCs w:val="14"/>
                <w:lang w:eastAsia="x-none"/>
              </w:rPr>
              <w:t xml:space="preserve">source </w:t>
            </w:r>
            <w:r w:rsidRPr="009638AE">
              <w:rPr>
                <w:rFonts w:ascii="Times" w:eastAsia="Batang" w:hAnsi="Times" w:cs="Times"/>
                <w:sz w:val="14"/>
                <w:szCs w:val="14"/>
                <w:lang w:eastAsia="ja-JP"/>
              </w:rPr>
              <w:t>RS in the UL or (if applicable) joint TCI state to provide spatial relation indication and the PL-RS is a UE capability</w:t>
            </w:r>
          </w:p>
          <w:p w14:paraId="6885B793" w14:textId="77777777" w:rsidR="009638AE" w:rsidRPr="009638AE" w:rsidRDefault="009638AE" w:rsidP="009638AE">
            <w:pPr>
              <w:numPr>
                <w:ilvl w:val="1"/>
                <w:numId w:val="20"/>
              </w:numPr>
              <w:snapToGrid w:val="0"/>
              <w:spacing w:after="0"/>
              <w:jc w:val="both"/>
              <w:rPr>
                <w:rFonts w:ascii="Times" w:eastAsia="Batang" w:hAnsi="Times" w:cs="Times"/>
                <w:sz w:val="14"/>
                <w:szCs w:val="14"/>
                <w:lang w:eastAsia="ko-KR"/>
              </w:rPr>
            </w:pPr>
            <w:r w:rsidRPr="009638AE">
              <w:rPr>
                <w:rFonts w:ascii="Times" w:eastAsia="Batang" w:hAnsi="Times" w:cs="Times"/>
                <w:sz w:val="14"/>
                <w:szCs w:val="14"/>
                <w:lang w:eastAsia="ja-JP"/>
              </w:rPr>
              <w:t>Note: The term “</w:t>
            </w:r>
            <w:r w:rsidRPr="009638AE">
              <w:rPr>
                <w:rFonts w:ascii="Times" w:eastAsia="Times New Roman" w:hAnsi="Times" w:cs="Times"/>
                <w:sz w:val="14"/>
                <w:szCs w:val="14"/>
                <w:lang w:eastAsia="x-none"/>
              </w:rPr>
              <w:t>beam misalignment</w:t>
            </w:r>
            <w:r w:rsidRPr="009638AE">
              <w:rPr>
                <w:rFonts w:ascii="Times" w:eastAsia="Batang" w:hAnsi="Times" w:cs="Times"/>
                <w:sz w:val="14"/>
                <w:szCs w:val="14"/>
                <w:lang w:eastAsia="ja-JP"/>
              </w:rPr>
              <w:t>” is for discussion purpose only</w:t>
            </w:r>
          </w:p>
          <w:p w14:paraId="6CE06335" w14:textId="77777777" w:rsidR="009638AE" w:rsidRPr="009638AE" w:rsidRDefault="009638AE" w:rsidP="009638AE">
            <w:pPr>
              <w:numPr>
                <w:ilvl w:val="0"/>
                <w:numId w:val="20"/>
              </w:numPr>
              <w:snapToGrid w:val="0"/>
              <w:spacing w:after="0"/>
              <w:jc w:val="both"/>
              <w:rPr>
                <w:rFonts w:ascii="Times" w:eastAsia="Batang" w:hAnsi="Times" w:cs="Times"/>
                <w:sz w:val="14"/>
                <w:szCs w:val="14"/>
                <w:lang w:eastAsia="ko-KR"/>
              </w:rPr>
            </w:pPr>
            <w:r w:rsidRPr="009638AE">
              <w:rPr>
                <w:rFonts w:ascii="Times" w:eastAsia="Batang" w:hAnsi="Times" w:cs="Times"/>
                <w:sz w:val="14"/>
                <w:szCs w:val="14"/>
                <w:lang w:eastAsia="ja-JP"/>
              </w:rPr>
              <w:t>Whether it is ‘included in’ or ‘associated with’ (including the manner it is performed and the signaling) is up to RAN2</w:t>
            </w:r>
          </w:p>
          <w:p w14:paraId="774ADC2A" w14:textId="77777777" w:rsidR="009638AE" w:rsidRPr="009638AE" w:rsidRDefault="009638AE" w:rsidP="009638AE">
            <w:pPr>
              <w:numPr>
                <w:ilvl w:val="0"/>
                <w:numId w:val="19"/>
              </w:numPr>
              <w:snapToGrid w:val="0"/>
              <w:spacing w:after="0"/>
              <w:jc w:val="both"/>
              <w:rPr>
                <w:rFonts w:ascii="Times" w:eastAsia="Times New Roman" w:hAnsi="Times" w:cs="Times"/>
                <w:sz w:val="14"/>
                <w:szCs w:val="14"/>
              </w:rPr>
            </w:pPr>
            <w:r w:rsidRPr="009638AE">
              <w:rPr>
                <w:rFonts w:ascii="Times" w:eastAsia="Times New Roman" w:hAnsi="Times" w:cs="Times"/>
                <w:sz w:val="14"/>
                <w:szCs w:val="14"/>
              </w:rPr>
              <w:t>The UE maintains the PL-RS of the activated UL TCI state or (if applicable) joint TCI state</w:t>
            </w:r>
          </w:p>
          <w:p w14:paraId="0DED3777" w14:textId="77777777" w:rsidR="009638AE" w:rsidRPr="009638AE" w:rsidRDefault="009638AE" w:rsidP="009638AE">
            <w:pPr>
              <w:numPr>
                <w:ilvl w:val="0"/>
                <w:numId w:val="19"/>
              </w:numPr>
              <w:snapToGrid w:val="0"/>
              <w:spacing w:after="0"/>
              <w:jc w:val="both"/>
              <w:rPr>
                <w:rFonts w:ascii="Times" w:eastAsia="Times New Roman" w:hAnsi="Times" w:cs="Times"/>
                <w:sz w:val="14"/>
                <w:szCs w:val="14"/>
              </w:rPr>
            </w:pPr>
            <w:r w:rsidRPr="009638AE">
              <w:rPr>
                <w:rFonts w:ascii="Times" w:eastAsia="Times New Roman" w:hAnsi="Times" w:cs="Times"/>
                <w:sz w:val="14"/>
                <w:szCs w:val="14"/>
              </w:rPr>
              <w:t>The maximum number of activated UL TCI states or (if applicable) joint TCI states per band per cell is a UE capability</w:t>
            </w:r>
          </w:p>
          <w:p w14:paraId="60757B9D" w14:textId="77777777" w:rsidR="009638AE" w:rsidRPr="009638AE" w:rsidRDefault="009638AE" w:rsidP="009638AE">
            <w:pPr>
              <w:numPr>
                <w:ilvl w:val="0"/>
                <w:numId w:val="19"/>
              </w:numPr>
              <w:snapToGrid w:val="0"/>
              <w:spacing w:after="0"/>
              <w:jc w:val="both"/>
              <w:rPr>
                <w:rFonts w:ascii="Times" w:eastAsia="Times New Roman" w:hAnsi="Times" w:cs="Times"/>
                <w:sz w:val="14"/>
                <w:szCs w:val="14"/>
                <w:lang w:eastAsia="ko-KR"/>
              </w:rPr>
            </w:pPr>
            <w:r w:rsidRPr="009638AE">
              <w:rPr>
                <w:rFonts w:ascii="Times" w:eastAsia="Batang" w:hAnsi="Times" w:cs="Times"/>
                <w:sz w:val="14"/>
                <w:szCs w:val="14"/>
                <w:lang w:eastAsia="ja-JP"/>
              </w:rPr>
              <w:t>FFS: detailed aspects of PL-RS, e.g. CSI-RS type(s), restriction on configuration</w:t>
            </w:r>
          </w:p>
          <w:p w14:paraId="16141665" w14:textId="77777777" w:rsidR="009638AE" w:rsidRPr="009638AE" w:rsidRDefault="009638AE" w:rsidP="009638AE">
            <w:pPr>
              <w:numPr>
                <w:ilvl w:val="0"/>
                <w:numId w:val="19"/>
              </w:numPr>
              <w:snapToGrid w:val="0"/>
              <w:spacing w:after="0"/>
              <w:jc w:val="both"/>
              <w:rPr>
                <w:rFonts w:ascii="Times" w:eastAsia="Batang" w:hAnsi="Times" w:cs="Times"/>
                <w:sz w:val="14"/>
                <w:szCs w:val="14"/>
                <w:lang w:eastAsia="ja-JP"/>
              </w:rPr>
            </w:pPr>
            <w:r w:rsidRPr="009638AE">
              <w:rPr>
                <w:rFonts w:ascii="Times" w:eastAsia="Batang" w:hAnsi="Times" w:cs="Times"/>
                <w:sz w:val="14"/>
                <w:szCs w:val="14"/>
                <w:lang w:eastAsia="ja-JP"/>
              </w:rPr>
              <w:t>FFS: For the definition of “</w:t>
            </w:r>
            <w:r w:rsidRPr="009638AE">
              <w:rPr>
                <w:rFonts w:ascii="Times" w:eastAsia="Times New Roman" w:hAnsi="Times" w:cs="Times"/>
                <w:sz w:val="14"/>
                <w:szCs w:val="14"/>
              </w:rPr>
              <w:t>beam misalignment</w:t>
            </w:r>
            <w:r w:rsidRPr="009638AE">
              <w:rPr>
                <w:rFonts w:ascii="Times" w:eastAsia="Batang" w:hAnsi="Times" w:cs="Times"/>
                <w:sz w:val="14"/>
                <w:szCs w:val="14"/>
                <w:lang w:eastAsia="ja-JP"/>
              </w:rPr>
              <w:t xml:space="preserve"> or not”, at least consider the case where the periodic DL source RS in</w:t>
            </w:r>
            <w:r w:rsidRPr="009638AE">
              <w:rPr>
                <w:rFonts w:ascii="Times" w:eastAsia="Batang" w:hAnsi="Times" w:cs="Times"/>
                <w:sz w:val="8"/>
                <w:szCs w:val="12"/>
              </w:rPr>
              <w:t> </w:t>
            </w:r>
            <w:r w:rsidRPr="009638AE">
              <w:rPr>
                <w:rFonts w:ascii="Times" w:eastAsia="Batang" w:hAnsi="Times" w:cs="Times"/>
                <w:sz w:val="14"/>
                <w:szCs w:val="14"/>
                <w:lang w:eastAsia="ja-JP"/>
              </w:rPr>
              <w:t>the UL or (if applicable) joint TCI state to provide spatial relation indication is configured/associated as the PL-RS</w:t>
            </w:r>
          </w:p>
          <w:p w14:paraId="1BABEACC" w14:textId="77777777" w:rsidR="009638AE" w:rsidRPr="009638AE" w:rsidRDefault="009638AE" w:rsidP="009638AE">
            <w:pPr>
              <w:numPr>
                <w:ilvl w:val="0"/>
                <w:numId w:val="19"/>
              </w:numPr>
              <w:snapToGrid w:val="0"/>
              <w:spacing w:after="0"/>
              <w:jc w:val="both"/>
              <w:rPr>
                <w:rFonts w:ascii="Times" w:eastAsia="Malgun Gothic" w:hAnsi="Times" w:cs="Times"/>
                <w:sz w:val="14"/>
                <w:szCs w:val="14"/>
                <w:lang w:eastAsia="ja-JP"/>
              </w:rPr>
            </w:pPr>
            <w:r w:rsidRPr="009638AE">
              <w:rPr>
                <w:rFonts w:ascii="Times" w:eastAsia="Batang" w:hAnsi="Times" w:cs="Times"/>
                <w:sz w:val="14"/>
                <w:szCs w:val="14"/>
                <w:lang w:eastAsia="ja-JP"/>
              </w:rPr>
              <w:t>Note: PL-RS is assumed to be periodic</w:t>
            </w:r>
          </w:p>
          <w:p w14:paraId="2D5B603D" w14:textId="77777777" w:rsidR="009638AE" w:rsidRPr="009638AE" w:rsidRDefault="009638AE" w:rsidP="009638AE">
            <w:pPr>
              <w:spacing w:after="0"/>
              <w:rPr>
                <w:rFonts w:ascii="Times" w:eastAsia="Batang" w:hAnsi="Times"/>
                <w:sz w:val="14"/>
                <w:szCs w:val="18"/>
              </w:rPr>
            </w:pPr>
          </w:p>
          <w:p w14:paraId="2587CC9E" w14:textId="77777777" w:rsidR="009638AE" w:rsidRPr="009638AE" w:rsidRDefault="009638AE" w:rsidP="009638AE">
            <w:pPr>
              <w:snapToGrid w:val="0"/>
              <w:spacing w:after="0"/>
              <w:rPr>
                <w:rFonts w:eastAsia="Batang"/>
                <w:sz w:val="14"/>
                <w:szCs w:val="16"/>
                <w:lang w:val="en-US" w:eastAsia="ko-KR"/>
              </w:rPr>
            </w:pPr>
            <w:r w:rsidRPr="009638AE">
              <w:rPr>
                <w:rFonts w:eastAsia="Batang"/>
                <w:b/>
                <w:bCs/>
                <w:sz w:val="14"/>
                <w:szCs w:val="18"/>
                <w:highlight w:val="green"/>
              </w:rPr>
              <w:t>Agreement</w:t>
            </w:r>
          </w:p>
          <w:p w14:paraId="65C195AC" w14:textId="77777777" w:rsidR="009638AE" w:rsidRPr="009638AE" w:rsidRDefault="009638AE" w:rsidP="009638AE">
            <w:pPr>
              <w:snapToGrid w:val="0"/>
              <w:spacing w:after="0"/>
              <w:rPr>
                <w:rFonts w:eastAsia="Batang"/>
                <w:sz w:val="14"/>
                <w:szCs w:val="18"/>
              </w:rPr>
            </w:pPr>
            <w:r w:rsidRPr="009638AE">
              <w:rPr>
                <w:rFonts w:eastAsia="Batang"/>
                <w:sz w:val="14"/>
                <w:szCs w:val="18"/>
              </w:rPr>
              <w:t xml:space="preserve">On Rel.17 unified TCI framework, </w:t>
            </w:r>
          </w:p>
          <w:p w14:paraId="4E97E43D" w14:textId="77777777" w:rsidR="009638AE" w:rsidRPr="009638AE" w:rsidRDefault="009638AE" w:rsidP="009638AE">
            <w:pPr>
              <w:numPr>
                <w:ilvl w:val="0"/>
                <w:numId w:val="27"/>
              </w:numPr>
              <w:snapToGrid w:val="0"/>
              <w:spacing w:after="0"/>
              <w:rPr>
                <w:rFonts w:eastAsia="Batang"/>
                <w:sz w:val="16"/>
                <w:szCs w:val="16"/>
                <w:lang w:val="en-US"/>
              </w:rPr>
            </w:pPr>
            <w:r w:rsidRPr="009638AE">
              <w:rPr>
                <w:rFonts w:eastAsia="Batang"/>
                <w:sz w:val="14"/>
                <w:szCs w:val="18"/>
                <w:lang w:eastAsia="x-none"/>
              </w:rPr>
              <w:t>Any DL RS that is a valid target DL RS of a Rel-15/16 TCI state based on the Rel-15/16 QCL rules can be configured as a target DL RS of Rel-17 DL TCI (hence the Rel-17 DL TCI state pool)</w:t>
            </w:r>
          </w:p>
          <w:p w14:paraId="341BE28F" w14:textId="77777777" w:rsidR="009638AE" w:rsidRPr="009638AE" w:rsidRDefault="009638AE" w:rsidP="009638AE">
            <w:pPr>
              <w:numPr>
                <w:ilvl w:val="1"/>
                <w:numId w:val="27"/>
              </w:numPr>
              <w:snapToGrid w:val="0"/>
              <w:spacing w:after="0"/>
              <w:rPr>
                <w:rFonts w:eastAsia="Batang"/>
                <w:sz w:val="16"/>
                <w:szCs w:val="16"/>
                <w:lang w:eastAsia="ko-KR"/>
              </w:rPr>
            </w:pPr>
            <w:r w:rsidRPr="009638AE">
              <w:rPr>
                <w:rFonts w:eastAsia="Batang"/>
                <w:sz w:val="16"/>
                <w:szCs w:val="16"/>
                <w:lang w:eastAsia="x-none"/>
              </w:rPr>
              <w:lastRenderedPageBreak/>
              <w:t>Note: This does not imply that all such DL RSs necessarily share a same TCI state</w:t>
            </w:r>
          </w:p>
          <w:p w14:paraId="2CCF5F18" w14:textId="77777777" w:rsidR="009638AE" w:rsidRPr="009638AE" w:rsidRDefault="009638AE" w:rsidP="009638AE">
            <w:pPr>
              <w:numPr>
                <w:ilvl w:val="1"/>
                <w:numId w:val="27"/>
              </w:numPr>
              <w:snapToGrid w:val="0"/>
              <w:spacing w:after="0"/>
              <w:rPr>
                <w:rFonts w:eastAsia="Batang"/>
                <w:sz w:val="16"/>
                <w:szCs w:val="16"/>
              </w:rPr>
            </w:pPr>
            <w:r w:rsidRPr="009638AE">
              <w:rPr>
                <w:rFonts w:eastAsia="Batang"/>
                <w:sz w:val="16"/>
                <w:szCs w:val="16"/>
                <w:lang w:eastAsia="x-none"/>
              </w:rPr>
              <w:t>The DL RS includes CSI-RS and DMRS for PDSCH or PDCCH</w:t>
            </w:r>
          </w:p>
          <w:p w14:paraId="2A7FD8B6" w14:textId="77777777" w:rsidR="009638AE" w:rsidRPr="009638AE" w:rsidRDefault="009638AE" w:rsidP="009638AE">
            <w:pPr>
              <w:numPr>
                <w:ilvl w:val="0"/>
                <w:numId w:val="27"/>
              </w:numPr>
              <w:snapToGrid w:val="0"/>
              <w:spacing w:after="0"/>
              <w:rPr>
                <w:rFonts w:eastAsia="Batang"/>
                <w:sz w:val="16"/>
                <w:szCs w:val="16"/>
                <w:lang w:eastAsia="ko-KR"/>
              </w:rPr>
            </w:pPr>
            <w:r w:rsidRPr="009638AE">
              <w:rPr>
                <w:rFonts w:eastAsia="Batang"/>
                <w:sz w:val="16"/>
                <w:szCs w:val="16"/>
                <w:lang w:eastAsia="x-none"/>
              </w:rPr>
              <w:t>FFS: Whether some SRS resources or resource sets for BM can be configured as a target signal/channel of a Rel-17 UL TCI (hence the Rel-17 UL TCI state pool)</w:t>
            </w:r>
          </w:p>
          <w:p w14:paraId="05A9926A" w14:textId="77777777" w:rsidR="009638AE" w:rsidRPr="009638AE" w:rsidRDefault="009638AE" w:rsidP="009638AE">
            <w:pPr>
              <w:numPr>
                <w:ilvl w:val="0"/>
                <w:numId w:val="27"/>
              </w:numPr>
              <w:snapToGrid w:val="0"/>
              <w:spacing w:after="0"/>
              <w:rPr>
                <w:rFonts w:eastAsia="Batang"/>
                <w:sz w:val="16"/>
                <w:szCs w:val="16"/>
                <w:lang w:eastAsia="x-none"/>
              </w:rPr>
            </w:pPr>
            <w:r w:rsidRPr="009638AE">
              <w:rPr>
                <w:rFonts w:eastAsia="Batang"/>
                <w:sz w:val="16"/>
                <w:szCs w:val="16"/>
                <w:lang w:eastAsia="x-none"/>
              </w:rPr>
              <w:t>Note: This does not imply that DL and UL TCI state pools are separate or shared for separate DL/UL TCI (this issue is still TBD)</w:t>
            </w:r>
          </w:p>
          <w:p w14:paraId="5562AD3F" w14:textId="77777777" w:rsidR="009638AE" w:rsidRPr="009638AE" w:rsidRDefault="009638AE" w:rsidP="009638AE">
            <w:pPr>
              <w:snapToGrid w:val="0"/>
              <w:spacing w:after="0"/>
              <w:rPr>
                <w:rFonts w:eastAsia="Batang"/>
                <w:b/>
                <w:bCs/>
                <w:sz w:val="16"/>
                <w:szCs w:val="16"/>
              </w:rPr>
            </w:pPr>
          </w:p>
          <w:p w14:paraId="459D2154" w14:textId="77777777" w:rsidR="009638AE" w:rsidRPr="009638AE" w:rsidRDefault="009638AE" w:rsidP="009638AE">
            <w:pPr>
              <w:snapToGrid w:val="0"/>
              <w:spacing w:after="0"/>
              <w:rPr>
                <w:rFonts w:eastAsia="Batang"/>
                <w:sz w:val="14"/>
                <w:szCs w:val="18"/>
              </w:rPr>
            </w:pPr>
            <w:r w:rsidRPr="009638AE">
              <w:rPr>
                <w:rFonts w:eastAsia="Batang"/>
                <w:b/>
                <w:bCs/>
                <w:sz w:val="14"/>
                <w:szCs w:val="18"/>
                <w:highlight w:val="green"/>
              </w:rPr>
              <w:t>Agreement</w:t>
            </w:r>
          </w:p>
          <w:p w14:paraId="38146C62" w14:textId="77777777" w:rsidR="009638AE" w:rsidRPr="009638AE" w:rsidRDefault="009638AE" w:rsidP="009638AE">
            <w:pPr>
              <w:snapToGrid w:val="0"/>
              <w:spacing w:after="0"/>
              <w:rPr>
                <w:rFonts w:eastAsia="Batang"/>
                <w:sz w:val="14"/>
                <w:szCs w:val="18"/>
              </w:rPr>
            </w:pPr>
            <w:r w:rsidRPr="009638AE">
              <w:rPr>
                <w:rFonts w:eastAsia="Batang"/>
                <w:sz w:val="14"/>
                <w:szCs w:val="18"/>
              </w:rPr>
              <w:t>On Rel.17 unified TCI framework, discuss and decide by RAN1#106-e (August 2021)</w:t>
            </w:r>
          </w:p>
          <w:p w14:paraId="028EAF6A" w14:textId="77777777" w:rsidR="009638AE" w:rsidRPr="009638AE" w:rsidRDefault="009638AE" w:rsidP="009638AE">
            <w:pPr>
              <w:numPr>
                <w:ilvl w:val="0"/>
                <w:numId w:val="28"/>
              </w:numPr>
              <w:autoSpaceDN w:val="0"/>
              <w:snapToGrid w:val="0"/>
              <w:spacing w:after="0"/>
              <w:jc w:val="both"/>
              <w:rPr>
                <w:rFonts w:eastAsia="Batang"/>
                <w:sz w:val="16"/>
                <w:szCs w:val="16"/>
                <w:lang w:val="en-US"/>
              </w:rPr>
            </w:pPr>
            <w:r w:rsidRPr="009638AE">
              <w:rPr>
                <w:rFonts w:eastAsia="Batang"/>
                <w:sz w:val="14"/>
                <w:szCs w:val="18"/>
                <w:lang w:eastAsia="x-none"/>
              </w:rPr>
              <w:t>Whether each of the following DL RSs can share the same indicated Rel-17 TCI state as UE-dedicated reception on PDSCH and for UE-dedicated reception on all or subset of CORESETs in a CC</w:t>
            </w:r>
          </w:p>
          <w:p w14:paraId="36EC37BF" w14:textId="77777777" w:rsidR="009638AE" w:rsidRPr="009638AE" w:rsidRDefault="009638AE" w:rsidP="009638AE">
            <w:pPr>
              <w:numPr>
                <w:ilvl w:val="1"/>
                <w:numId w:val="28"/>
              </w:numPr>
              <w:autoSpaceDN w:val="0"/>
              <w:snapToGrid w:val="0"/>
              <w:spacing w:after="0"/>
              <w:jc w:val="both"/>
              <w:rPr>
                <w:rFonts w:eastAsia="Batang"/>
                <w:sz w:val="16"/>
                <w:szCs w:val="16"/>
                <w:lang w:eastAsia="ko-KR"/>
              </w:rPr>
            </w:pPr>
            <w:r w:rsidRPr="009638AE">
              <w:rPr>
                <w:rFonts w:eastAsia="Batang"/>
                <w:sz w:val="16"/>
                <w:szCs w:val="16"/>
                <w:lang w:eastAsia="x-none"/>
              </w:rPr>
              <w:t>CSI-RS resources for CSI</w:t>
            </w:r>
          </w:p>
          <w:p w14:paraId="1F2363BF" w14:textId="77777777" w:rsidR="009638AE" w:rsidRPr="009638AE" w:rsidRDefault="009638AE" w:rsidP="009638AE">
            <w:pPr>
              <w:numPr>
                <w:ilvl w:val="1"/>
                <w:numId w:val="28"/>
              </w:numPr>
              <w:autoSpaceDN w:val="0"/>
              <w:snapToGrid w:val="0"/>
              <w:spacing w:after="0"/>
              <w:jc w:val="both"/>
              <w:rPr>
                <w:rFonts w:eastAsia="Batang"/>
                <w:sz w:val="16"/>
                <w:szCs w:val="16"/>
              </w:rPr>
            </w:pPr>
            <w:r w:rsidRPr="009638AE">
              <w:rPr>
                <w:rFonts w:eastAsia="Batang"/>
                <w:sz w:val="16"/>
                <w:szCs w:val="16"/>
                <w:lang w:eastAsia="x-none"/>
              </w:rPr>
              <w:t>Some CSI-RS resources for BM, if so, which ones (e.g. aperiodic, repetition ‘ON’)</w:t>
            </w:r>
          </w:p>
          <w:p w14:paraId="2BB65A33" w14:textId="77777777" w:rsidR="009638AE" w:rsidRPr="009638AE" w:rsidRDefault="009638AE" w:rsidP="009638AE">
            <w:pPr>
              <w:numPr>
                <w:ilvl w:val="1"/>
                <w:numId w:val="28"/>
              </w:numPr>
              <w:autoSpaceDN w:val="0"/>
              <w:snapToGrid w:val="0"/>
              <w:spacing w:after="0"/>
              <w:jc w:val="both"/>
              <w:rPr>
                <w:rFonts w:eastAsia="Batang"/>
                <w:sz w:val="16"/>
                <w:szCs w:val="16"/>
                <w:lang w:eastAsia="ko-KR"/>
              </w:rPr>
            </w:pPr>
            <w:r w:rsidRPr="009638AE">
              <w:rPr>
                <w:rFonts w:eastAsia="Batang"/>
                <w:sz w:val="16"/>
                <w:szCs w:val="16"/>
                <w:lang w:eastAsia="x-none"/>
              </w:rPr>
              <w:t>CSI-RS for tracking</w:t>
            </w:r>
          </w:p>
          <w:p w14:paraId="0DAF18C4" w14:textId="77777777" w:rsidR="009638AE" w:rsidRPr="009638AE" w:rsidRDefault="009638AE" w:rsidP="009638AE">
            <w:pPr>
              <w:numPr>
                <w:ilvl w:val="1"/>
                <w:numId w:val="28"/>
              </w:numPr>
              <w:autoSpaceDN w:val="0"/>
              <w:snapToGrid w:val="0"/>
              <w:spacing w:after="0"/>
              <w:jc w:val="both"/>
              <w:rPr>
                <w:rFonts w:eastAsia="Batang"/>
                <w:sz w:val="16"/>
                <w:szCs w:val="16"/>
                <w:lang w:eastAsia="x-none"/>
              </w:rPr>
            </w:pPr>
            <w:r w:rsidRPr="009638AE">
              <w:rPr>
                <w:rFonts w:eastAsia="Batang"/>
                <w:sz w:val="16"/>
                <w:szCs w:val="16"/>
                <w:lang w:eastAsia="x-none"/>
              </w:rPr>
              <w:t>DMRS(s) associated with non-UE-dedicated reception on PDSCH and all/subset of CORESETs</w:t>
            </w:r>
          </w:p>
          <w:p w14:paraId="1155E090" w14:textId="77777777" w:rsidR="009638AE" w:rsidRPr="009638AE" w:rsidRDefault="009638AE" w:rsidP="009638AE">
            <w:pPr>
              <w:numPr>
                <w:ilvl w:val="0"/>
                <w:numId w:val="28"/>
              </w:numPr>
              <w:autoSpaceDN w:val="0"/>
              <w:snapToGrid w:val="0"/>
              <w:spacing w:after="0"/>
              <w:jc w:val="both"/>
              <w:rPr>
                <w:rFonts w:eastAsia="Batang"/>
                <w:sz w:val="16"/>
                <w:szCs w:val="16"/>
                <w:lang w:eastAsia="x-none"/>
              </w:rPr>
            </w:pPr>
            <w:r w:rsidRPr="009638AE">
              <w:rPr>
                <w:rFonts w:eastAsia="Batang"/>
                <w:sz w:val="16"/>
                <w:szCs w:val="16"/>
                <w:lang w:eastAsia="x-none"/>
              </w:rPr>
              <w:t>Whether some SRS resources or resource sets for BM can share the same indicated Rel-17 TCI state as dynamic-grant/configured-grant based PUSCH, all or subset of dedicated PUCCH resources in a CC</w:t>
            </w:r>
          </w:p>
          <w:p w14:paraId="2694A11F" w14:textId="77777777" w:rsidR="009638AE" w:rsidRPr="009638AE" w:rsidRDefault="009638AE" w:rsidP="009638AE">
            <w:pPr>
              <w:snapToGrid w:val="0"/>
              <w:spacing w:after="0"/>
              <w:rPr>
                <w:rFonts w:eastAsia="Batang"/>
                <w:sz w:val="16"/>
                <w:szCs w:val="16"/>
              </w:rPr>
            </w:pPr>
          </w:p>
          <w:p w14:paraId="2EF5ED91" w14:textId="77777777" w:rsidR="009638AE" w:rsidRPr="009638AE" w:rsidRDefault="009638AE" w:rsidP="009638AE">
            <w:pPr>
              <w:snapToGrid w:val="0"/>
              <w:spacing w:after="0"/>
              <w:rPr>
                <w:rFonts w:eastAsia="Batang"/>
                <w:sz w:val="14"/>
                <w:szCs w:val="18"/>
              </w:rPr>
            </w:pPr>
            <w:r w:rsidRPr="009638AE">
              <w:rPr>
                <w:rFonts w:eastAsia="Batang"/>
                <w:b/>
                <w:bCs/>
                <w:sz w:val="14"/>
                <w:szCs w:val="18"/>
                <w:highlight w:val="green"/>
              </w:rPr>
              <w:t>Agreement</w:t>
            </w:r>
          </w:p>
          <w:p w14:paraId="2BA79C35" w14:textId="77777777" w:rsidR="009638AE" w:rsidRPr="009638AE" w:rsidRDefault="009638AE" w:rsidP="009638AE">
            <w:pPr>
              <w:snapToGrid w:val="0"/>
              <w:spacing w:after="0"/>
              <w:jc w:val="both"/>
              <w:rPr>
                <w:rFonts w:eastAsia="Batang"/>
                <w:sz w:val="14"/>
                <w:szCs w:val="18"/>
              </w:rPr>
            </w:pPr>
            <w:r w:rsidRPr="009638AE">
              <w:rPr>
                <w:rFonts w:eastAsia="Batang"/>
                <w:sz w:val="14"/>
                <w:szCs w:val="18"/>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58207080" w14:textId="77777777" w:rsidR="009638AE" w:rsidRPr="009638AE" w:rsidRDefault="009638AE" w:rsidP="009638AE">
            <w:pPr>
              <w:numPr>
                <w:ilvl w:val="0"/>
                <w:numId w:val="29"/>
              </w:numPr>
              <w:snapToGrid w:val="0"/>
              <w:spacing w:after="0"/>
              <w:jc w:val="both"/>
              <w:rPr>
                <w:rFonts w:eastAsia="Batang"/>
                <w:sz w:val="16"/>
                <w:szCs w:val="16"/>
                <w:lang w:eastAsia="x-none"/>
              </w:rPr>
            </w:pPr>
            <w:r w:rsidRPr="009638AE">
              <w:rPr>
                <w:rFonts w:eastAsia="Batang"/>
                <w:sz w:val="14"/>
                <w:szCs w:val="18"/>
                <w:lang w:eastAsia="x-none"/>
              </w:rPr>
              <w:t xml:space="preserve">Alt1. Rel-15/16 TCI state update signaling/configuration mechanism(s) are reused to update/configure the Rel-17 TCI state </w:t>
            </w:r>
          </w:p>
          <w:p w14:paraId="6F88B0C5" w14:textId="77777777" w:rsidR="009638AE" w:rsidRPr="009638AE" w:rsidRDefault="009638AE" w:rsidP="009638AE">
            <w:pPr>
              <w:numPr>
                <w:ilvl w:val="0"/>
                <w:numId w:val="29"/>
              </w:numPr>
              <w:snapToGrid w:val="0"/>
              <w:spacing w:after="0"/>
              <w:jc w:val="both"/>
              <w:rPr>
                <w:rFonts w:eastAsia="Batang"/>
                <w:sz w:val="16"/>
                <w:szCs w:val="16"/>
                <w:lang w:eastAsia="x-none"/>
              </w:rPr>
            </w:pPr>
            <w:r w:rsidRPr="009638AE">
              <w:rPr>
                <w:rFonts w:eastAsia="Batang"/>
                <w:sz w:val="16"/>
                <w:szCs w:val="16"/>
                <w:lang w:eastAsia="x-none"/>
              </w:rPr>
              <w:t>Alt2. Rel-17 TCI state update signaling/configuration mechanism(s) are used, e.g. with Rel-17 MAC-CE/DCI-based beam indication for Rel-17 joint/separate TCI</w:t>
            </w:r>
          </w:p>
          <w:p w14:paraId="69F26056" w14:textId="77777777" w:rsidR="009638AE" w:rsidRPr="009638AE" w:rsidRDefault="009638AE" w:rsidP="009638AE">
            <w:pPr>
              <w:snapToGrid w:val="0"/>
              <w:spacing w:after="0"/>
              <w:jc w:val="both"/>
              <w:rPr>
                <w:rFonts w:eastAsia="Batang"/>
                <w:sz w:val="16"/>
                <w:szCs w:val="16"/>
              </w:rPr>
            </w:pPr>
            <w:r w:rsidRPr="009638AE">
              <w:rPr>
                <w:rFonts w:eastAsia="Batang"/>
                <w:sz w:val="14"/>
                <w:szCs w:val="18"/>
              </w:rPr>
              <w:t>Note: The DL RS includes CSI-RS and DMRS for PDSCH or PDCCH</w:t>
            </w:r>
          </w:p>
          <w:p w14:paraId="1266BD4E" w14:textId="77777777" w:rsidR="009638AE" w:rsidRPr="009638AE" w:rsidRDefault="009638AE" w:rsidP="009638AE">
            <w:pPr>
              <w:snapToGrid w:val="0"/>
              <w:spacing w:after="0"/>
              <w:jc w:val="both"/>
              <w:rPr>
                <w:rFonts w:eastAsia="Batang"/>
                <w:sz w:val="14"/>
                <w:szCs w:val="18"/>
              </w:rPr>
            </w:pPr>
            <w:r w:rsidRPr="009638AE">
              <w:rPr>
                <w:rFonts w:eastAsia="Batang"/>
                <w:sz w:val="14"/>
                <w:szCs w:val="18"/>
              </w:rPr>
              <w:t>Note: For some channels/signals, only one of the above two alternatives may apply (to be discussed).</w:t>
            </w:r>
          </w:p>
          <w:p w14:paraId="0A7908B2" w14:textId="77777777" w:rsidR="009638AE" w:rsidRPr="009638AE" w:rsidRDefault="009638AE" w:rsidP="009638AE">
            <w:pPr>
              <w:snapToGrid w:val="0"/>
              <w:spacing w:after="0"/>
              <w:jc w:val="both"/>
              <w:rPr>
                <w:rFonts w:eastAsia="Batang"/>
                <w:b/>
                <w:bCs/>
                <w:sz w:val="14"/>
                <w:szCs w:val="18"/>
              </w:rPr>
            </w:pPr>
          </w:p>
          <w:p w14:paraId="604F4058" w14:textId="77777777" w:rsidR="009638AE" w:rsidRPr="009638AE" w:rsidRDefault="009638AE" w:rsidP="009638AE">
            <w:pPr>
              <w:snapToGrid w:val="0"/>
              <w:spacing w:after="0"/>
              <w:rPr>
                <w:rFonts w:eastAsia="Batang"/>
                <w:sz w:val="14"/>
                <w:szCs w:val="18"/>
              </w:rPr>
            </w:pPr>
            <w:r w:rsidRPr="009638AE">
              <w:rPr>
                <w:rFonts w:eastAsia="Batang"/>
                <w:b/>
                <w:bCs/>
                <w:sz w:val="14"/>
                <w:szCs w:val="18"/>
                <w:highlight w:val="green"/>
              </w:rPr>
              <w:t>Agreement</w:t>
            </w:r>
          </w:p>
          <w:p w14:paraId="5B646C33" w14:textId="77777777" w:rsidR="009638AE" w:rsidRPr="009638AE" w:rsidRDefault="009638AE" w:rsidP="009638AE">
            <w:pPr>
              <w:snapToGrid w:val="0"/>
              <w:spacing w:after="0"/>
              <w:jc w:val="both"/>
              <w:rPr>
                <w:rFonts w:eastAsia="Batang"/>
                <w:sz w:val="14"/>
                <w:szCs w:val="18"/>
              </w:rPr>
            </w:pPr>
            <w:r w:rsidRPr="009638AE">
              <w:rPr>
                <w:rFonts w:eastAsia="Batang"/>
                <w:sz w:val="14"/>
                <w:szCs w:val="18"/>
              </w:rPr>
              <w:t xml:space="preserve">On Rel.17 L1-RSRP multi-beam measurement/reporting enhancements </w:t>
            </w:r>
            <w:r w:rsidRPr="009638AE">
              <w:rPr>
                <w:rFonts w:eastAsia="Batang"/>
                <w:color w:val="000000"/>
                <w:sz w:val="14"/>
                <w:szCs w:val="18"/>
              </w:rPr>
              <w:t>for L1/L2-centric inter-cell mobility and inter-cell mTRP</w:t>
            </w:r>
            <w:r w:rsidRPr="009638AE">
              <w:rPr>
                <w:rFonts w:eastAsia="Batang"/>
                <w:sz w:val="14"/>
                <w:szCs w:val="18"/>
              </w:rPr>
              <w:t>,</w:t>
            </w:r>
          </w:p>
          <w:p w14:paraId="3697C083" w14:textId="77777777" w:rsidR="009638AE" w:rsidRPr="009638AE" w:rsidRDefault="009638AE" w:rsidP="009638AE">
            <w:pPr>
              <w:numPr>
                <w:ilvl w:val="0"/>
                <w:numId w:val="30"/>
              </w:numPr>
              <w:snapToGrid w:val="0"/>
              <w:spacing w:after="0"/>
              <w:jc w:val="both"/>
              <w:rPr>
                <w:rFonts w:eastAsia="Batang"/>
                <w:sz w:val="16"/>
                <w:szCs w:val="16"/>
                <w:lang w:eastAsia="x-none"/>
              </w:rPr>
            </w:pPr>
            <w:r w:rsidRPr="009638AE">
              <w:rPr>
                <w:rFonts w:eastAsia="Batang"/>
                <w:sz w:val="14"/>
                <w:szCs w:val="18"/>
                <w:lang w:eastAsia="x-none"/>
              </w:rPr>
              <w:t>Support at least K=4, where K is defined as the number of beams associated at least with non-serving cell(s) reported in a single CSI reporting instance</w:t>
            </w:r>
          </w:p>
          <w:p w14:paraId="76C12F36" w14:textId="77777777" w:rsidR="009638AE" w:rsidRPr="009638AE" w:rsidRDefault="009638AE" w:rsidP="009638AE">
            <w:pPr>
              <w:numPr>
                <w:ilvl w:val="1"/>
                <w:numId w:val="30"/>
              </w:numPr>
              <w:snapToGrid w:val="0"/>
              <w:spacing w:after="0"/>
              <w:jc w:val="both"/>
              <w:rPr>
                <w:rFonts w:eastAsia="Batang"/>
                <w:sz w:val="16"/>
                <w:szCs w:val="16"/>
                <w:lang w:eastAsia="x-none"/>
              </w:rPr>
            </w:pPr>
            <w:r w:rsidRPr="009638AE">
              <w:rPr>
                <w:rFonts w:eastAsia="Batang"/>
                <w:sz w:val="16"/>
                <w:szCs w:val="16"/>
                <w:lang w:eastAsia="x-none"/>
              </w:rPr>
              <w:t>The maximum value of supported K is a UE capability</w:t>
            </w:r>
          </w:p>
          <w:p w14:paraId="6C3D31B6" w14:textId="77777777" w:rsidR="009638AE" w:rsidRPr="009638AE" w:rsidRDefault="009638AE" w:rsidP="009638AE">
            <w:pPr>
              <w:numPr>
                <w:ilvl w:val="1"/>
                <w:numId w:val="30"/>
              </w:numPr>
              <w:snapToGrid w:val="0"/>
              <w:spacing w:after="0"/>
              <w:jc w:val="both"/>
              <w:rPr>
                <w:rFonts w:eastAsia="Batang"/>
                <w:sz w:val="16"/>
                <w:szCs w:val="16"/>
                <w:lang w:eastAsia="x-none"/>
              </w:rPr>
            </w:pPr>
            <w:r w:rsidRPr="009638AE">
              <w:rPr>
                <w:rFonts w:eastAsia="Batang"/>
                <w:sz w:val="16"/>
                <w:szCs w:val="16"/>
                <w:lang w:eastAsia="x-none"/>
              </w:rPr>
              <w:t xml:space="preserve">K is configured by NW based on the UE capability </w:t>
            </w:r>
          </w:p>
          <w:p w14:paraId="02A90024" w14:textId="77777777" w:rsidR="009638AE" w:rsidRPr="009638AE" w:rsidRDefault="009638AE" w:rsidP="009638AE">
            <w:pPr>
              <w:numPr>
                <w:ilvl w:val="1"/>
                <w:numId w:val="30"/>
              </w:numPr>
              <w:snapToGrid w:val="0"/>
              <w:spacing w:after="0"/>
              <w:jc w:val="both"/>
              <w:rPr>
                <w:rFonts w:eastAsia="Batang"/>
                <w:sz w:val="16"/>
                <w:szCs w:val="16"/>
                <w:lang w:eastAsia="x-none"/>
              </w:rPr>
            </w:pPr>
            <w:r w:rsidRPr="009638AE">
              <w:rPr>
                <w:rFonts w:eastAsia="Batang"/>
                <w:sz w:val="16"/>
                <w:szCs w:val="16"/>
                <w:lang w:eastAsia="x-none"/>
              </w:rPr>
              <w:t>FFS: The support of K=8 and 16</w:t>
            </w:r>
          </w:p>
          <w:p w14:paraId="287723A5" w14:textId="77777777" w:rsidR="009638AE" w:rsidRPr="009638AE" w:rsidRDefault="009638AE" w:rsidP="009638AE">
            <w:pPr>
              <w:numPr>
                <w:ilvl w:val="2"/>
                <w:numId w:val="30"/>
              </w:numPr>
              <w:snapToGrid w:val="0"/>
              <w:spacing w:after="0"/>
              <w:jc w:val="both"/>
              <w:rPr>
                <w:rFonts w:eastAsia="Batang"/>
                <w:sz w:val="16"/>
                <w:szCs w:val="16"/>
                <w:lang w:eastAsia="x-none"/>
              </w:rPr>
            </w:pPr>
            <w:r w:rsidRPr="009638AE">
              <w:rPr>
                <w:rFonts w:eastAsia="Batang"/>
                <w:sz w:val="16"/>
                <w:szCs w:val="16"/>
                <w:lang w:eastAsia="x-none"/>
              </w:rPr>
              <w:t>For K&gt;4, the maximum number of beams associated with one cell is 4</w:t>
            </w:r>
          </w:p>
          <w:p w14:paraId="7D9F3E1E" w14:textId="77777777" w:rsidR="009638AE" w:rsidRPr="009638AE" w:rsidRDefault="009638AE" w:rsidP="009638AE">
            <w:pPr>
              <w:numPr>
                <w:ilvl w:val="0"/>
                <w:numId w:val="30"/>
              </w:numPr>
              <w:snapToGrid w:val="0"/>
              <w:spacing w:after="0"/>
              <w:jc w:val="both"/>
              <w:rPr>
                <w:rFonts w:eastAsia="Batang"/>
                <w:sz w:val="16"/>
                <w:szCs w:val="16"/>
                <w:lang w:eastAsia="x-none"/>
              </w:rPr>
            </w:pPr>
            <w:r w:rsidRPr="009638AE">
              <w:rPr>
                <w:rFonts w:eastAsia="Batang"/>
                <w:sz w:val="16"/>
                <w:szCs w:val="16"/>
                <w:lang w:eastAsia="x-none"/>
              </w:rPr>
              <w:t>FFS: Support L1-based event-driven reporting based on Rel-16 SCell BFR framework or analogous to L3-based event-driven reporting, including the definition of L1-based event, if needed</w:t>
            </w:r>
          </w:p>
          <w:p w14:paraId="611EF92F" w14:textId="77777777" w:rsidR="009638AE" w:rsidRPr="009638AE" w:rsidRDefault="009638AE" w:rsidP="009638AE">
            <w:pPr>
              <w:snapToGrid w:val="0"/>
              <w:spacing w:after="0"/>
              <w:jc w:val="both"/>
              <w:rPr>
                <w:rFonts w:eastAsia="Batang"/>
                <w:sz w:val="16"/>
                <w:szCs w:val="16"/>
              </w:rPr>
            </w:pPr>
            <w:r w:rsidRPr="009638AE">
              <w:rPr>
                <w:rFonts w:eastAsia="Batang"/>
                <w:sz w:val="14"/>
                <w:szCs w:val="18"/>
              </w:rPr>
              <w:t>Note: If another beam metric other than L1-RSRP is supported (e.g. L3-RSRP is still FFS), the above also applies</w:t>
            </w:r>
          </w:p>
          <w:p w14:paraId="7C4A7CAD" w14:textId="77777777" w:rsidR="009638AE" w:rsidRPr="009638AE" w:rsidRDefault="009638AE" w:rsidP="009638AE">
            <w:pPr>
              <w:wordWrap w:val="0"/>
              <w:spacing w:after="0"/>
              <w:rPr>
                <w:rFonts w:eastAsia="Batang"/>
                <w:color w:val="1F497D"/>
                <w:sz w:val="14"/>
                <w:szCs w:val="18"/>
              </w:rPr>
            </w:pPr>
          </w:p>
          <w:p w14:paraId="509DFBAC" w14:textId="77777777" w:rsidR="009638AE" w:rsidRPr="009638AE" w:rsidRDefault="009638AE" w:rsidP="009638AE">
            <w:pPr>
              <w:snapToGrid w:val="0"/>
              <w:spacing w:after="0"/>
              <w:jc w:val="both"/>
              <w:rPr>
                <w:rFonts w:eastAsia="Batang"/>
                <w:sz w:val="14"/>
                <w:szCs w:val="16"/>
                <w:lang w:val="en-US" w:eastAsia="ko-KR"/>
              </w:rPr>
            </w:pPr>
            <w:r w:rsidRPr="009638AE">
              <w:rPr>
                <w:rFonts w:eastAsia="Batang"/>
                <w:b/>
                <w:bCs/>
                <w:sz w:val="14"/>
                <w:szCs w:val="18"/>
                <w:highlight w:val="green"/>
              </w:rPr>
              <w:t>Agreement</w:t>
            </w:r>
          </w:p>
          <w:p w14:paraId="57CCD504" w14:textId="77777777" w:rsidR="009638AE" w:rsidRPr="009638AE" w:rsidRDefault="009638AE" w:rsidP="009638AE">
            <w:pPr>
              <w:snapToGrid w:val="0"/>
              <w:spacing w:after="0"/>
              <w:jc w:val="both"/>
              <w:rPr>
                <w:rFonts w:eastAsia="Batang"/>
                <w:sz w:val="14"/>
                <w:szCs w:val="18"/>
              </w:rPr>
            </w:pPr>
            <w:r w:rsidRPr="009638AE">
              <w:rPr>
                <w:rFonts w:eastAsia="Batang"/>
                <w:sz w:val="14"/>
                <w:szCs w:val="18"/>
              </w:rPr>
              <w:t>On Rel.17 L1-RSRP multi-beam measurement/reporting enhancements for L1/L2-centric inter-cell mobility and inter-cell mTRP, decide by RAN1#106-e whether to support the following RS types as measurement RS or not:</w:t>
            </w:r>
          </w:p>
          <w:p w14:paraId="6814EAFE" w14:textId="77777777" w:rsidR="009638AE" w:rsidRPr="009638AE" w:rsidRDefault="009638AE" w:rsidP="009638AE">
            <w:pPr>
              <w:numPr>
                <w:ilvl w:val="0"/>
                <w:numId w:val="21"/>
              </w:numPr>
              <w:snapToGrid w:val="0"/>
              <w:spacing w:after="0"/>
              <w:jc w:val="both"/>
              <w:rPr>
                <w:rFonts w:eastAsia="Batang"/>
                <w:sz w:val="14"/>
                <w:szCs w:val="18"/>
                <w:lang w:eastAsia="x-none"/>
              </w:rPr>
            </w:pPr>
            <w:r w:rsidRPr="009638AE">
              <w:rPr>
                <w:rFonts w:eastAsia="Batang"/>
                <w:sz w:val="14"/>
                <w:szCs w:val="18"/>
                <w:lang w:eastAsia="x-none"/>
              </w:rPr>
              <w:t xml:space="preserve">CSI-RS for mobility/RRM associated with a non-serving cell  </w:t>
            </w:r>
          </w:p>
          <w:p w14:paraId="05880BBC" w14:textId="77777777" w:rsidR="009638AE" w:rsidRPr="009638AE" w:rsidRDefault="009638AE" w:rsidP="009638AE">
            <w:pPr>
              <w:numPr>
                <w:ilvl w:val="0"/>
                <w:numId w:val="21"/>
              </w:numPr>
              <w:snapToGrid w:val="0"/>
              <w:spacing w:after="0"/>
              <w:jc w:val="both"/>
              <w:rPr>
                <w:rFonts w:eastAsia="Batang"/>
                <w:sz w:val="14"/>
                <w:szCs w:val="18"/>
                <w:lang w:eastAsia="x-none"/>
              </w:rPr>
            </w:pPr>
            <w:r w:rsidRPr="009638AE">
              <w:rPr>
                <w:rFonts w:eastAsia="Batang"/>
                <w:sz w:val="14"/>
                <w:szCs w:val="18"/>
                <w:lang w:eastAsia="x-none"/>
              </w:rPr>
              <w:t xml:space="preserve">CSI-RS for BM associated with a non-serving cell  </w:t>
            </w:r>
          </w:p>
          <w:p w14:paraId="4F36EFA2" w14:textId="77777777" w:rsidR="009638AE" w:rsidRPr="009638AE" w:rsidRDefault="009638AE" w:rsidP="009638AE">
            <w:pPr>
              <w:numPr>
                <w:ilvl w:val="0"/>
                <w:numId w:val="21"/>
              </w:numPr>
              <w:snapToGrid w:val="0"/>
              <w:spacing w:after="0"/>
              <w:jc w:val="both"/>
              <w:rPr>
                <w:rFonts w:eastAsia="Batang"/>
                <w:sz w:val="14"/>
                <w:szCs w:val="18"/>
                <w:lang w:eastAsia="x-none"/>
              </w:rPr>
            </w:pPr>
            <w:r w:rsidRPr="009638AE">
              <w:rPr>
                <w:rFonts w:eastAsia="Batang"/>
                <w:sz w:val="14"/>
                <w:szCs w:val="18"/>
                <w:lang w:eastAsia="x-none"/>
              </w:rPr>
              <w:t xml:space="preserve">CSI-RS for tracking associated with a non-serving cell  </w:t>
            </w:r>
          </w:p>
          <w:p w14:paraId="0993E682" w14:textId="77777777" w:rsidR="009638AE" w:rsidRPr="009638AE" w:rsidRDefault="009638AE" w:rsidP="009638AE">
            <w:pPr>
              <w:snapToGrid w:val="0"/>
              <w:spacing w:after="0"/>
              <w:jc w:val="both"/>
              <w:rPr>
                <w:rFonts w:eastAsia="Batang"/>
                <w:sz w:val="14"/>
                <w:szCs w:val="18"/>
              </w:rPr>
            </w:pPr>
            <w:r w:rsidRPr="009638AE">
              <w:rPr>
                <w:rFonts w:eastAsia="Batang"/>
                <w:sz w:val="14"/>
                <w:szCs w:val="18"/>
              </w:rPr>
              <w:t>Note: If another beam metric other than L1-RSRP is supported (e.g. L3-RSRP is still FFS), the above also applies</w:t>
            </w:r>
          </w:p>
          <w:p w14:paraId="09FEB5BD" w14:textId="77777777" w:rsidR="009638AE" w:rsidRPr="009638AE" w:rsidRDefault="009638AE" w:rsidP="009638AE">
            <w:pPr>
              <w:snapToGrid w:val="0"/>
              <w:spacing w:after="0"/>
              <w:jc w:val="both"/>
              <w:rPr>
                <w:rFonts w:eastAsia="Batang"/>
                <w:sz w:val="14"/>
                <w:szCs w:val="18"/>
              </w:rPr>
            </w:pPr>
            <w:r w:rsidRPr="009638AE">
              <w:rPr>
                <w:rFonts w:eastAsia="Batang"/>
                <w:sz w:val="14"/>
                <w:szCs w:val="18"/>
              </w:rPr>
              <w:t>Note: An RS is associated with a non-serving cell means that it is either configured for a non-serving cell or configured for a serving cell but is QCLed with a non-serving cell SSB</w:t>
            </w:r>
          </w:p>
          <w:p w14:paraId="51366842" w14:textId="77777777" w:rsidR="009638AE" w:rsidRPr="009638AE" w:rsidRDefault="009638AE" w:rsidP="009638AE">
            <w:pPr>
              <w:spacing w:after="0"/>
              <w:rPr>
                <w:rFonts w:ascii="Times" w:eastAsia="Batang" w:hAnsi="Times"/>
                <w:sz w:val="14"/>
                <w:szCs w:val="18"/>
              </w:rPr>
            </w:pPr>
          </w:p>
          <w:p w14:paraId="2F4A8C69" w14:textId="77777777" w:rsidR="009638AE" w:rsidRPr="009638AE" w:rsidRDefault="009638AE" w:rsidP="009638AE">
            <w:pPr>
              <w:snapToGrid w:val="0"/>
              <w:spacing w:after="0"/>
              <w:jc w:val="both"/>
              <w:rPr>
                <w:rFonts w:eastAsia="Malgun Gothic"/>
                <w:b/>
                <w:bCs/>
                <w:sz w:val="14"/>
                <w:szCs w:val="18"/>
                <w:highlight w:val="darkYellow"/>
              </w:rPr>
            </w:pPr>
            <w:r w:rsidRPr="009638AE">
              <w:rPr>
                <w:b/>
                <w:bCs/>
                <w:sz w:val="14"/>
                <w:szCs w:val="18"/>
                <w:highlight w:val="darkYellow"/>
              </w:rPr>
              <w:t>Working Assumption</w:t>
            </w:r>
          </w:p>
          <w:p w14:paraId="59F96937" w14:textId="77777777" w:rsidR="009638AE" w:rsidRPr="009638AE" w:rsidRDefault="009638AE" w:rsidP="009638AE">
            <w:pPr>
              <w:snapToGrid w:val="0"/>
              <w:spacing w:after="0"/>
              <w:jc w:val="both"/>
              <w:rPr>
                <w:rFonts w:eastAsia="Malgun Gothic"/>
                <w:sz w:val="14"/>
                <w:szCs w:val="18"/>
              </w:rPr>
            </w:pPr>
            <w:r w:rsidRPr="009638AE">
              <w:rPr>
                <w:rFonts w:eastAsia="Malgun Gothic"/>
                <w:sz w:val="14"/>
                <w:szCs w:val="18"/>
              </w:rPr>
              <w:t xml:space="preserve">On Rel.17 beam indication enhancements </w:t>
            </w:r>
            <w:r w:rsidRPr="009638AE">
              <w:rPr>
                <w:rFonts w:eastAsia="Malgun Gothic"/>
                <w:color w:val="000000"/>
                <w:sz w:val="14"/>
                <w:szCs w:val="18"/>
              </w:rPr>
              <w:t>for L1/L2-centric inter-cell mobility</w:t>
            </w:r>
            <w:r w:rsidRPr="009638AE">
              <w:rPr>
                <w:rFonts w:eastAsia="Malgun Gothic"/>
                <w:sz w:val="14"/>
                <w:szCs w:val="18"/>
              </w:rPr>
              <w:t>, support the following:</w:t>
            </w:r>
          </w:p>
          <w:p w14:paraId="50465159" w14:textId="77777777" w:rsidR="009638AE" w:rsidRPr="009638AE" w:rsidRDefault="009638AE" w:rsidP="009638AE">
            <w:pPr>
              <w:numPr>
                <w:ilvl w:val="0"/>
                <w:numId w:val="10"/>
              </w:numPr>
              <w:snapToGrid w:val="0"/>
              <w:spacing w:after="0"/>
              <w:jc w:val="both"/>
              <w:rPr>
                <w:sz w:val="14"/>
                <w:szCs w:val="18"/>
              </w:rPr>
            </w:pPr>
            <w:r w:rsidRPr="009638AE">
              <w:rPr>
                <w:sz w:val="14"/>
                <w:szCs w:val="18"/>
              </w:rPr>
              <w:t xml:space="preserve">Rel-17 MAC-CE-based and/or DCI-based beam indication (at least using DCI formats 1_1/1_2 with and without DL assignment including the associated MAC-CE-based TCI state activation) </w:t>
            </w:r>
          </w:p>
          <w:p w14:paraId="34ABB287" w14:textId="77777777" w:rsidR="009638AE" w:rsidRPr="009638AE" w:rsidRDefault="009638AE" w:rsidP="009638AE">
            <w:pPr>
              <w:numPr>
                <w:ilvl w:val="1"/>
                <w:numId w:val="10"/>
              </w:numPr>
              <w:snapToGrid w:val="0"/>
              <w:spacing w:after="0"/>
              <w:jc w:val="both"/>
              <w:rPr>
                <w:sz w:val="14"/>
                <w:szCs w:val="18"/>
              </w:rPr>
            </w:pPr>
            <w:r w:rsidRPr="009638AE">
              <w:rPr>
                <w:sz w:val="14"/>
                <w:szCs w:val="18"/>
              </w:rPr>
              <w:t xml:space="preserve">FFS (to be decided in RAN1#106-e): Whether this also applies to </w:t>
            </w:r>
            <w:r w:rsidRPr="009638AE">
              <w:rPr>
                <w:rFonts w:eastAsia="Times New Roman"/>
                <w:sz w:val="14"/>
                <w:szCs w:val="18"/>
              </w:rPr>
              <w:t xml:space="preserve">PDSCH/PUSCH associated with UE-dedicated CORESETs only or additional target channels (e.g. UE-dedicated PDCCH/PUCCH) </w:t>
            </w:r>
          </w:p>
          <w:p w14:paraId="39ECADCD" w14:textId="77777777" w:rsidR="009638AE" w:rsidRPr="009638AE" w:rsidRDefault="009638AE" w:rsidP="009638AE">
            <w:pPr>
              <w:numPr>
                <w:ilvl w:val="1"/>
                <w:numId w:val="10"/>
              </w:numPr>
              <w:snapToGrid w:val="0"/>
              <w:spacing w:after="0"/>
              <w:jc w:val="both"/>
              <w:rPr>
                <w:sz w:val="14"/>
                <w:szCs w:val="18"/>
              </w:rPr>
            </w:pPr>
            <w:r w:rsidRPr="009638AE">
              <w:rPr>
                <w:sz w:val="14"/>
                <w:szCs w:val="18"/>
              </w:rPr>
              <w:t xml:space="preserve">FFS: Whether the above is supported only for joint TCI, or both joint TCI and separate DL/UL TCI (including that, if separate DL/UL TCI is supported, the DL TCI and UL TCI associated with a same cell) </w:t>
            </w:r>
          </w:p>
          <w:p w14:paraId="47D45342" w14:textId="77777777" w:rsidR="009638AE" w:rsidRPr="009638AE" w:rsidRDefault="009638AE" w:rsidP="009638AE">
            <w:pPr>
              <w:numPr>
                <w:ilvl w:val="1"/>
                <w:numId w:val="10"/>
              </w:numPr>
              <w:snapToGrid w:val="0"/>
              <w:spacing w:after="0"/>
              <w:jc w:val="both"/>
              <w:rPr>
                <w:sz w:val="14"/>
                <w:szCs w:val="18"/>
              </w:rPr>
            </w:pPr>
            <w:r w:rsidRPr="009638AE">
              <w:rPr>
                <w:sz w:val="14"/>
                <w:szCs w:val="18"/>
              </w:rPr>
              <w:t>FFS: Whether to support activation of TCI states for more than one cells simultaneously</w:t>
            </w:r>
          </w:p>
          <w:p w14:paraId="378AF740" w14:textId="77777777" w:rsidR="009638AE" w:rsidRPr="009638AE" w:rsidRDefault="009638AE" w:rsidP="009638AE">
            <w:pPr>
              <w:numPr>
                <w:ilvl w:val="1"/>
                <w:numId w:val="10"/>
              </w:numPr>
              <w:snapToGrid w:val="0"/>
              <w:spacing w:after="0"/>
              <w:jc w:val="both"/>
              <w:rPr>
                <w:sz w:val="14"/>
                <w:szCs w:val="18"/>
              </w:rPr>
            </w:pPr>
            <w:r w:rsidRPr="009638AE">
              <w:rPr>
                <w:sz w:val="14"/>
                <w:szCs w:val="18"/>
              </w:rPr>
              <w:t>FFS: Whether down-selection between MAC-CE only based and MAC-CE+DCI-based beam indication scheme is necessary</w:t>
            </w:r>
          </w:p>
          <w:p w14:paraId="693C17C8" w14:textId="77777777" w:rsidR="009638AE" w:rsidRPr="009638AE" w:rsidRDefault="009638AE" w:rsidP="009638AE">
            <w:pPr>
              <w:numPr>
                <w:ilvl w:val="0"/>
                <w:numId w:val="10"/>
              </w:numPr>
              <w:snapToGrid w:val="0"/>
              <w:spacing w:after="0"/>
              <w:jc w:val="both"/>
              <w:rPr>
                <w:sz w:val="14"/>
                <w:szCs w:val="18"/>
              </w:rPr>
            </w:pPr>
            <w:r w:rsidRPr="009638AE">
              <w:rPr>
                <w:sz w:val="14"/>
                <w:szCs w:val="18"/>
              </w:rPr>
              <w:t xml:space="preserve">The DL QCL and UL spatial relation rules already agreed for intra-cell scenario </w:t>
            </w:r>
          </w:p>
          <w:p w14:paraId="41694313" w14:textId="77777777" w:rsidR="009638AE" w:rsidRPr="009638AE" w:rsidRDefault="009638AE" w:rsidP="009638AE">
            <w:pPr>
              <w:numPr>
                <w:ilvl w:val="0"/>
                <w:numId w:val="10"/>
              </w:numPr>
              <w:snapToGrid w:val="0"/>
              <w:spacing w:after="0"/>
              <w:jc w:val="both"/>
              <w:rPr>
                <w:sz w:val="14"/>
                <w:szCs w:val="18"/>
              </w:rPr>
            </w:pPr>
            <w:r w:rsidRPr="009638AE">
              <w:rPr>
                <w:sz w:val="14"/>
                <w:szCs w:val="18"/>
              </w:rPr>
              <w:t xml:space="preserve">FFS: The use of SSB associated with a physical cell ID different from that of the serving cell as an indirect QCL reference for UE-dedicated PDSCH </w:t>
            </w:r>
          </w:p>
          <w:p w14:paraId="7E3F0D8F" w14:textId="77777777" w:rsidR="009638AE" w:rsidRPr="009638AE" w:rsidRDefault="009638AE" w:rsidP="009638AE">
            <w:pPr>
              <w:numPr>
                <w:ilvl w:val="1"/>
                <w:numId w:val="10"/>
              </w:numPr>
              <w:snapToGrid w:val="0"/>
              <w:spacing w:after="0"/>
              <w:jc w:val="both"/>
              <w:rPr>
                <w:sz w:val="14"/>
                <w:szCs w:val="18"/>
              </w:rPr>
            </w:pPr>
            <w:r w:rsidRPr="009638AE">
              <w:rPr>
                <w:sz w:val="14"/>
                <w:szCs w:val="18"/>
              </w:rPr>
              <w:t xml:space="preserve">FFS (to be decided in RAN1#106-e): Whether this also applies to UE-dedicated PDCCH </w:t>
            </w:r>
          </w:p>
          <w:p w14:paraId="53F82919" w14:textId="77777777" w:rsidR="009638AE" w:rsidRPr="009638AE" w:rsidRDefault="009638AE" w:rsidP="009638AE">
            <w:pPr>
              <w:numPr>
                <w:ilvl w:val="1"/>
                <w:numId w:val="10"/>
              </w:numPr>
              <w:snapToGrid w:val="0"/>
              <w:spacing w:after="0"/>
              <w:jc w:val="both"/>
              <w:rPr>
                <w:sz w:val="14"/>
                <w:szCs w:val="18"/>
              </w:rPr>
            </w:pPr>
            <w:r w:rsidRPr="009638AE">
              <w:rPr>
                <w:sz w:val="14"/>
                <w:szCs w:val="18"/>
              </w:rPr>
              <w:t>Note: When RS X is an indirect QCL reference of a target channel, there exists at least one other source signal on the QCL chain between RS X and the target channel</w:t>
            </w:r>
          </w:p>
          <w:p w14:paraId="724D918D" w14:textId="77777777" w:rsidR="009638AE" w:rsidRPr="009638AE" w:rsidRDefault="009638AE" w:rsidP="009638AE">
            <w:pPr>
              <w:numPr>
                <w:ilvl w:val="1"/>
                <w:numId w:val="10"/>
              </w:numPr>
              <w:snapToGrid w:val="0"/>
              <w:spacing w:after="0"/>
              <w:jc w:val="both"/>
              <w:rPr>
                <w:sz w:val="14"/>
                <w:szCs w:val="18"/>
              </w:rPr>
            </w:pPr>
            <w:r w:rsidRPr="009638AE">
              <w:rPr>
                <w:sz w:val="14"/>
                <w:szCs w:val="18"/>
              </w:rPr>
              <w:t>FFS (to be decided in RAN1#106-e): Whether SSB associated with a physical cell ID different from that of the serving cell can also be used as a direct QCL reference (source RS) for UE-dedicated PDCCH/PDSCH</w:t>
            </w:r>
          </w:p>
          <w:p w14:paraId="24D5B686" w14:textId="77777777" w:rsidR="009638AE" w:rsidRPr="009638AE" w:rsidRDefault="009638AE" w:rsidP="009638AE">
            <w:pPr>
              <w:spacing w:after="0"/>
              <w:rPr>
                <w:rFonts w:ascii="Times" w:eastAsia="Batang" w:hAnsi="Times"/>
                <w:sz w:val="14"/>
                <w:szCs w:val="18"/>
              </w:rPr>
            </w:pPr>
          </w:p>
          <w:p w14:paraId="35C80687" w14:textId="77777777" w:rsidR="009638AE" w:rsidRPr="009638AE" w:rsidRDefault="009638AE" w:rsidP="009638AE">
            <w:pPr>
              <w:snapToGrid w:val="0"/>
              <w:spacing w:after="0"/>
              <w:jc w:val="both"/>
              <w:rPr>
                <w:rFonts w:eastAsia="Batang"/>
                <w:sz w:val="14"/>
                <w:szCs w:val="14"/>
                <w:highlight w:val="green"/>
              </w:rPr>
            </w:pPr>
            <w:r w:rsidRPr="009638AE">
              <w:rPr>
                <w:rFonts w:eastAsia="Batang"/>
                <w:b/>
                <w:bCs/>
                <w:sz w:val="14"/>
                <w:szCs w:val="14"/>
                <w:highlight w:val="green"/>
              </w:rPr>
              <w:t>Agreement</w:t>
            </w:r>
          </w:p>
          <w:p w14:paraId="55AF2655" w14:textId="77777777" w:rsidR="009638AE" w:rsidRPr="009638AE" w:rsidRDefault="009638AE" w:rsidP="009638AE">
            <w:pPr>
              <w:snapToGrid w:val="0"/>
              <w:spacing w:after="0"/>
              <w:jc w:val="both"/>
              <w:rPr>
                <w:rFonts w:eastAsia="Malgun Gothic"/>
                <w:sz w:val="14"/>
                <w:szCs w:val="18"/>
              </w:rPr>
            </w:pPr>
            <w:r w:rsidRPr="009638AE">
              <w:rPr>
                <w:rFonts w:eastAsia="Malgun Gothic"/>
                <w:sz w:val="14"/>
                <w:szCs w:val="18"/>
              </w:rPr>
              <w:t>On Rel.17 unified TCI framework,</w:t>
            </w:r>
            <w:r w:rsidRPr="009638AE">
              <w:rPr>
                <w:rFonts w:eastAsia="Malgun Gothic"/>
                <w:sz w:val="14"/>
                <w:szCs w:val="18"/>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3B5E7B0C" w14:textId="77777777" w:rsidR="009638AE" w:rsidRPr="009638AE" w:rsidRDefault="009638AE" w:rsidP="009638AE">
            <w:pPr>
              <w:numPr>
                <w:ilvl w:val="0"/>
                <w:numId w:val="23"/>
              </w:numPr>
              <w:snapToGrid w:val="0"/>
              <w:spacing w:after="0"/>
              <w:jc w:val="both"/>
              <w:rPr>
                <w:rFonts w:eastAsia="Times New Roman"/>
                <w:sz w:val="14"/>
                <w:szCs w:val="18"/>
                <w:shd w:val="clear" w:color="auto" w:fill="FFFFFF"/>
              </w:rPr>
            </w:pPr>
            <w:r w:rsidRPr="009638AE">
              <w:rPr>
                <w:rFonts w:eastAsia="Times New Roman"/>
                <w:sz w:val="14"/>
                <w:szCs w:val="18"/>
                <w:shd w:val="clear" w:color="auto" w:fill="FFFFFF"/>
              </w:rPr>
              <w:t>The source RS determined from the indicated common TCI state ID to provide QCL Type-D indication and to determine UL TX spatial filter for a target CC can be configured in the target CC or other CC</w:t>
            </w:r>
          </w:p>
          <w:p w14:paraId="32A351FA" w14:textId="77777777" w:rsidR="009638AE" w:rsidRPr="009638AE" w:rsidRDefault="009638AE" w:rsidP="009638AE">
            <w:pPr>
              <w:numPr>
                <w:ilvl w:val="0"/>
                <w:numId w:val="23"/>
              </w:numPr>
              <w:snapToGrid w:val="0"/>
              <w:spacing w:after="0"/>
              <w:jc w:val="both"/>
              <w:rPr>
                <w:rFonts w:eastAsia="Times New Roman"/>
                <w:sz w:val="14"/>
                <w:szCs w:val="18"/>
              </w:rPr>
            </w:pPr>
            <w:r w:rsidRPr="009638AE">
              <w:rPr>
                <w:rFonts w:eastAsia="Times New Roman"/>
                <w:sz w:val="14"/>
                <w:szCs w:val="18"/>
                <w:shd w:val="clear" w:color="auto" w:fill="FFFFFF"/>
              </w:rPr>
              <w:t xml:space="preserve">For intra-band CA, the following configurations can be supported without additional QCL rules: </w:t>
            </w:r>
          </w:p>
          <w:p w14:paraId="3E8CBCC3" w14:textId="77777777" w:rsidR="009638AE" w:rsidRPr="009638AE" w:rsidRDefault="009638AE" w:rsidP="009638AE">
            <w:pPr>
              <w:numPr>
                <w:ilvl w:val="1"/>
                <w:numId w:val="25"/>
              </w:numPr>
              <w:shd w:val="clear" w:color="auto" w:fill="FFFFFF"/>
              <w:snapToGrid w:val="0"/>
              <w:spacing w:after="0"/>
              <w:jc w:val="both"/>
              <w:rPr>
                <w:rFonts w:eastAsia="Batang"/>
                <w:sz w:val="14"/>
                <w:szCs w:val="18"/>
              </w:rPr>
            </w:pPr>
            <w:r w:rsidRPr="009638AE">
              <w:rPr>
                <w:rFonts w:eastAsia="Batang"/>
                <w:sz w:val="14"/>
                <w:szCs w:val="18"/>
                <w:bdr w:val="none" w:sz="0" w:space="0" w:color="auto" w:frame="1"/>
              </w:rPr>
              <w:t>One source RS across CCs can be </w:t>
            </w:r>
            <w:r w:rsidRPr="009638AE">
              <w:rPr>
                <w:rFonts w:eastAsia="Batang"/>
                <w:sz w:val="14"/>
                <w:szCs w:val="18"/>
                <w:bdr w:val="none" w:sz="0" w:space="0" w:color="auto" w:frame="1"/>
                <w:shd w:val="clear" w:color="auto" w:fill="FFFFFF"/>
              </w:rPr>
              <w:t>determined from the indicated common TCI state ID to provide QCL Type-D indication and to determine UL TX spatial filter for the set of configured CCs</w:t>
            </w:r>
            <w:r w:rsidRPr="009638AE">
              <w:rPr>
                <w:rFonts w:eastAsia="Batang"/>
                <w:sz w:val="14"/>
                <w:szCs w:val="18"/>
              </w:rPr>
              <w:t> </w:t>
            </w:r>
          </w:p>
          <w:p w14:paraId="38324F9E" w14:textId="77777777" w:rsidR="009638AE" w:rsidRPr="009638AE" w:rsidRDefault="009638AE" w:rsidP="009638AE">
            <w:pPr>
              <w:numPr>
                <w:ilvl w:val="1"/>
                <w:numId w:val="23"/>
              </w:numPr>
              <w:snapToGrid w:val="0"/>
              <w:spacing w:after="0"/>
              <w:jc w:val="both"/>
              <w:rPr>
                <w:rFonts w:eastAsia="Times New Roman"/>
                <w:sz w:val="14"/>
                <w:szCs w:val="18"/>
              </w:rPr>
            </w:pPr>
            <w:r w:rsidRPr="009638AE">
              <w:rPr>
                <w:rFonts w:eastAsia="Batang"/>
                <w:sz w:val="14"/>
                <w:szCs w:val="18"/>
                <w:bdr w:val="none" w:sz="0" w:space="0" w:color="auto" w:frame="1"/>
                <w:shd w:val="clear" w:color="auto" w:fill="FFFFFF"/>
              </w:rPr>
              <w:lastRenderedPageBreak/>
              <w:t>One source RS per CC can be determined from the indicated common TCI state ID to provide QCL Type-D indication and to determine UL TX spatial filter for the set of configured CCs, and the CC-specific source RSs are further associated with a same QCL-TypeD RS</w:t>
            </w:r>
            <w:r w:rsidRPr="009638AE">
              <w:rPr>
                <w:rFonts w:eastAsia="Batang"/>
                <w:sz w:val="14"/>
                <w:szCs w:val="18"/>
                <w:bdr w:val="none" w:sz="0" w:space="0" w:color="auto" w:frame="1"/>
              </w:rPr>
              <w:t> </w:t>
            </w:r>
          </w:p>
          <w:p w14:paraId="7D2544E0" w14:textId="77777777" w:rsidR="009638AE" w:rsidRPr="009638AE" w:rsidRDefault="009638AE" w:rsidP="009638AE">
            <w:pPr>
              <w:numPr>
                <w:ilvl w:val="0"/>
                <w:numId w:val="22"/>
              </w:numPr>
              <w:snapToGrid w:val="0"/>
              <w:spacing w:after="0"/>
              <w:jc w:val="both"/>
              <w:rPr>
                <w:rFonts w:eastAsia="Malgun Gothic"/>
                <w:strike/>
                <w:sz w:val="14"/>
                <w:szCs w:val="18"/>
                <w:lang w:eastAsia="ja-JP"/>
              </w:rPr>
            </w:pPr>
            <w:r w:rsidRPr="009638AE">
              <w:rPr>
                <w:rFonts w:eastAsia="Malgun Gothic"/>
                <w:sz w:val="14"/>
                <w:szCs w:val="18"/>
                <w:lang w:eastAsia="ja-JP"/>
              </w:rPr>
              <w:t xml:space="preserve">“A set of configured CCs/BWPs” includes all the BWPs in the set of configured CCs </w:t>
            </w:r>
          </w:p>
          <w:p w14:paraId="19D03578" w14:textId="77777777" w:rsidR="009638AE" w:rsidRPr="009638AE" w:rsidRDefault="009638AE" w:rsidP="009638AE">
            <w:pPr>
              <w:spacing w:after="0"/>
              <w:rPr>
                <w:rFonts w:ascii="Times" w:eastAsia="Batang" w:hAnsi="Times"/>
                <w:sz w:val="14"/>
                <w:szCs w:val="18"/>
              </w:rPr>
            </w:pPr>
          </w:p>
          <w:p w14:paraId="63A00C3E" w14:textId="77777777" w:rsidR="009638AE" w:rsidRPr="009638AE" w:rsidRDefault="009638AE" w:rsidP="009638AE">
            <w:pPr>
              <w:snapToGrid w:val="0"/>
              <w:spacing w:after="0"/>
              <w:jc w:val="both"/>
              <w:rPr>
                <w:rFonts w:eastAsia="Malgun Gothic"/>
                <w:b/>
                <w:bCs/>
                <w:sz w:val="14"/>
                <w:szCs w:val="18"/>
                <w:highlight w:val="darkYellow"/>
              </w:rPr>
            </w:pPr>
            <w:r w:rsidRPr="009638AE">
              <w:rPr>
                <w:rFonts w:eastAsia="Malgun Gothic"/>
                <w:b/>
                <w:bCs/>
                <w:sz w:val="14"/>
                <w:szCs w:val="18"/>
                <w:highlight w:val="darkYellow"/>
              </w:rPr>
              <w:t xml:space="preserve">Working Assumption </w:t>
            </w:r>
          </w:p>
          <w:p w14:paraId="0E028396" w14:textId="77777777" w:rsidR="009638AE" w:rsidRPr="009638AE" w:rsidRDefault="009638AE" w:rsidP="009638AE">
            <w:pPr>
              <w:snapToGrid w:val="0"/>
              <w:spacing w:after="0"/>
              <w:jc w:val="both"/>
              <w:rPr>
                <w:rFonts w:eastAsia="Malgun Gothic"/>
                <w:sz w:val="14"/>
                <w:szCs w:val="18"/>
              </w:rPr>
            </w:pPr>
            <w:r w:rsidRPr="009638AE">
              <w:rPr>
                <w:rFonts w:eastAsia="Malgun Gothic"/>
                <w:sz w:val="14"/>
                <w:szCs w:val="18"/>
              </w:rPr>
              <w:t xml:space="preserve">For common TCI state ID update and activation to provide common QCL information </w:t>
            </w:r>
            <w:r w:rsidRPr="009638AE">
              <w:rPr>
                <w:rFonts w:eastAsia="Malgun Gothic"/>
                <w:sz w:val="14"/>
                <w:szCs w:val="18"/>
                <w:lang w:eastAsia="ja-JP"/>
              </w:rPr>
              <w:t xml:space="preserve">at least for UE-dedicated PDCCH/PDSCH </w:t>
            </w:r>
            <w:r w:rsidRPr="009638AE">
              <w:rPr>
                <w:rFonts w:eastAsia="Malgun Gothic"/>
                <w:sz w:val="14"/>
                <w:szCs w:val="18"/>
              </w:rPr>
              <w:t xml:space="preserve">and/or common UL TX spatial filter(s) </w:t>
            </w:r>
            <w:r w:rsidRPr="009638AE">
              <w:rPr>
                <w:rFonts w:eastAsia="Malgun Gothic"/>
                <w:sz w:val="14"/>
                <w:szCs w:val="18"/>
                <w:lang w:eastAsia="ja-JP"/>
              </w:rPr>
              <w:t xml:space="preserve">at least for UE-dedicated PUSCH/PUCCH </w:t>
            </w:r>
            <w:r w:rsidRPr="009638AE">
              <w:rPr>
                <w:rFonts w:eastAsia="Malgun Gothic"/>
                <w:sz w:val="14"/>
                <w:szCs w:val="18"/>
              </w:rPr>
              <w:t xml:space="preserve">across a set of [configured] CCs/BWPs: </w:t>
            </w:r>
          </w:p>
          <w:p w14:paraId="117EDBE6" w14:textId="77777777" w:rsidR="009638AE" w:rsidRPr="009638AE" w:rsidRDefault="009638AE" w:rsidP="009638AE">
            <w:pPr>
              <w:numPr>
                <w:ilvl w:val="0"/>
                <w:numId w:val="24"/>
              </w:numPr>
              <w:snapToGrid w:val="0"/>
              <w:spacing w:after="0"/>
              <w:jc w:val="both"/>
              <w:rPr>
                <w:rFonts w:eastAsia="Malgun Gothic"/>
                <w:sz w:val="14"/>
                <w:szCs w:val="18"/>
              </w:rPr>
            </w:pPr>
            <w:r w:rsidRPr="009638AE">
              <w:rPr>
                <w:rFonts w:eastAsia="Malgun Gothic"/>
                <w:sz w:val="14"/>
                <w:szCs w:val="18"/>
              </w:rPr>
              <w:t>RRC-configured TCI state pool(s) can be configured in the PDSCH configuration (</w:t>
            </w:r>
            <w:r w:rsidRPr="009638AE">
              <w:rPr>
                <w:rFonts w:eastAsia="Malgun Gothic"/>
                <w:i/>
                <w:iCs/>
                <w:sz w:val="14"/>
                <w:szCs w:val="18"/>
              </w:rPr>
              <w:t>PDSCH-Config</w:t>
            </w:r>
            <w:r w:rsidRPr="009638AE">
              <w:rPr>
                <w:rFonts w:eastAsia="Malgun Gothic"/>
                <w:sz w:val="14"/>
                <w:szCs w:val="18"/>
              </w:rPr>
              <w:t>) for each BWP /CC as in Rel-15/16</w:t>
            </w:r>
          </w:p>
          <w:p w14:paraId="4AC6C831" w14:textId="77777777" w:rsidR="009638AE" w:rsidRPr="009638AE" w:rsidRDefault="009638AE" w:rsidP="009638AE">
            <w:pPr>
              <w:numPr>
                <w:ilvl w:val="1"/>
                <w:numId w:val="24"/>
              </w:numPr>
              <w:snapToGrid w:val="0"/>
              <w:spacing w:after="0"/>
              <w:jc w:val="both"/>
              <w:rPr>
                <w:rFonts w:eastAsia="Malgun Gothic"/>
                <w:sz w:val="14"/>
                <w:szCs w:val="18"/>
              </w:rPr>
            </w:pPr>
            <w:r w:rsidRPr="009638AE">
              <w:rPr>
                <w:rFonts w:eastAsia="Batang"/>
                <w:sz w:val="14"/>
                <w:szCs w:val="18"/>
                <w:lang w:eastAsia="zh-CN"/>
              </w:rPr>
              <w:t xml:space="preserve">Note: Such </w:t>
            </w:r>
            <w:r w:rsidRPr="009638AE">
              <w:rPr>
                <w:rFonts w:eastAsia="Malgun Gothic"/>
                <w:sz w:val="14"/>
                <w:szCs w:val="18"/>
              </w:rPr>
              <w:t>RRC-configured</w:t>
            </w:r>
            <w:r w:rsidRPr="009638AE">
              <w:rPr>
                <w:rFonts w:eastAsia="Batang"/>
                <w:sz w:val="14"/>
                <w:szCs w:val="18"/>
                <w:lang w:eastAsia="zh-CN"/>
              </w:rPr>
              <w:t xml:space="preserve"> TCI state pool(s) configuration doesn’t imply that separate DL/UL TCI state pool is excluded or supported</w:t>
            </w:r>
          </w:p>
          <w:p w14:paraId="46FADE23" w14:textId="77777777" w:rsidR="009638AE" w:rsidRPr="009638AE" w:rsidRDefault="009638AE" w:rsidP="009638AE">
            <w:pPr>
              <w:numPr>
                <w:ilvl w:val="0"/>
                <w:numId w:val="24"/>
              </w:numPr>
              <w:snapToGrid w:val="0"/>
              <w:spacing w:after="0"/>
              <w:jc w:val="both"/>
              <w:rPr>
                <w:rFonts w:eastAsia="Malgun Gothic"/>
                <w:sz w:val="14"/>
                <w:szCs w:val="18"/>
              </w:rPr>
            </w:pPr>
            <w:r w:rsidRPr="009638AE">
              <w:rPr>
                <w:rFonts w:eastAsia="Malgun Gothic"/>
                <w:sz w:val="14"/>
                <w:szCs w:val="18"/>
              </w:rPr>
              <w:t>RRC-configured TCI state pool(s) can be absent in the PDSCH configuration (</w:t>
            </w:r>
            <w:r w:rsidRPr="009638AE">
              <w:rPr>
                <w:rFonts w:eastAsia="Malgun Gothic"/>
                <w:i/>
                <w:iCs/>
                <w:sz w:val="14"/>
                <w:szCs w:val="18"/>
              </w:rPr>
              <w:t>PDSCH-Config</w:t>
            </w:r>
            <w:r w:rsidRPr="009638AE">
              <w:rPr>
                <w:rFonts w:eastAsia="Malgun Gothic"/>
                <w:sz w:val="14"/>
                <w:szCs w:val="18"/>
              </w:rPr>
              <w:t>) for each BWP/CC, and replaced with a reference to RRC-configured TCI state pool(s) in a reference BWP/CC</w:t>
            </w:r>
          </w:p>
          <w:p w14:paraId="2128B27E" w14:textId="77777777" w:rsidR="009638AE" w:rsidRPr="009638AE" w:rsidRDefault="009638AE" w:rsidP="009638AE">
            <w:pPr>
              <w:numPr>
                <w:ilvl w:val="1"/>
                <w:numId w:val="24"/>
              </w:numPr>
              <w:snapToGrid w:val="0"/>
              <w:spacing w:after="0"/>
              <w:jc w:val="both"/>
              <w:rPr>
                <w:rFonts w:eastAsia="Malgun Gothic"/>
                <w:sz w:val="14"/>
                <w:szCs w:val="18"/>
              </w:rPr>
            </w:pPr>
            <w:r w:rsidRPr="009638AE">
              <w:rPr>
                <w:rFonts w:eastAsia="Malgun Gothic"/>
                <w:sz w:val="14"/>
                <w:szCs w:val="18"/>
              </w:rPr>
              <w:t>In the PDSCH configuration (</w:t>
            </w:r>
            <w:r w:rsidRPr="009638AE">
              <w:rPr>
                <w:rFonts w:eastAsia="Malgun Gothic"/>
                <w:i/>
                <w:iCs/>
                <w:sz w:val="14"/>
                <w:szCs w:val="18"/>
              </w:rPr>
              <w:t>PDSCH-Config</w:t>
            </w:r>
            <w:r w:rsidRPr="009638AE">
              <w:rPr>
                <w:rFonts w:eastAsia="Malgun Gothic"/>
                <w:sz w:val="14"/>
                <w:szCs w:val="18"/>
              </w:rPr>
              <w:t>) of the reference BWP/CC, RRC-configured TCI state pool(s) shall be configured</w:t>
            </w:r>
          </w:p>
          <w:p w14:paraId="31545415" w14:textId="77777777" w:rsidR="009638AE" w:rsidRPr="009638AE" w:rsidRDefault="009638AE" w:rsidP="009638AE">
            <w:pPr>
              <w:numPr>
                <w:ilvl w:val="1"/>
                <w:numId w:val="24"/>
              </w:numPr>
              <w:tabs>
                <w:tab w:val="num" w:pos="1440"/>
              </w:tabs>
              <w:snapToGrid w:val="0"/>
              <w:spacing w:after="0"/>
              <w:jc w:val="both"/>
              <w:rPr>
                <w:rFonts w:eastAsia="Malgun Gothic"/>
                <w:sz w:val="14"/>
                <w:szCs w:val="18"/>
              </w:rPr>
            </w:pPr>
            <w:r w:rsidRPr="009638AE">
              <w:rPr>
                <w:rFonts w:eastAsia="Malgun Gothic"/>
                <w:sz w:val="14"/>
                <w:szCs w:val="18"/>
              </w:rPr>
              <w:t>For a BWP/CC where the PDSCH configuration contains a reference to the RRC-configured TCI state pool(s) in a reference BWP/CC, the UE applies the RRC-configured TCI state pool(s) in the reference BWP/CC</w:t>
            </w:r>
          </w:p>
          <w:p w14:paraId="0B2A67F9" w14:textId="77777777" w:rsidR="009638AE" w:rsidRPr="009638AE" w:rsidRDefault="009638AE" w:rsidP="009638AE">
            <w:pPr>
              <w:numPr>
                <w:ilvl w:val="0"/>
                <w:numId w:val="24"/>
              </w:numPr>
              <w:snapToGrid w:val="0"/>
              <w:spacing w:after="0"/>
              <w:jc w:val="both"/>
              <w:rPr>
                <w:rFonts w:eastAsia="Malgun Gothic"/>
                <w:sz w:val="14"/>
                <w:szCs w:val="18"/>
              </w:rPr>
            </w:pPr>
            <w:r w:rsidRPr="009638AE">
              <w:rPr>
                <w:rFonts w:eastAsia="Batang"/>
                <w:sz w:val="14"/>
                <w:szCs w:val="18"/>
              </w:rPr>
              <w:t>When the BWP/CC ID (</w:t>
            </w:r>
            <w:r w:rsidRPr="009638AE">
              <w:rPr>
                <w:rFonts w:eastAsia="Batang"/>
                <w:i/>
                <w:iCs/>
                <w:sz w:val="14"/>
                <w:szCs w:val="18"/>
              </w:rPr>
              <w:t>cell</w:t>
            </w:r>
            <w:r w:rsidRPr="009638AE">
              <w:rPr>
                <w:rFonts w:eastAsia="Batang"/>
                <w:sz w:val="14"/>
                <w:szCs w:val="18"/>
              </w:rPr>
              <w:t>) for QCL-Type A/D source RS in a </w:t>
            </w:r>
            <w:r w:rsidRPr="009638AE">
              <w:rPr>
                <w:rFonts w:eastAsia="Batang"/>
                <w:i/>
                <w:iCs/>
                <w:sz w:val="14"/>
                <w:szCs w:val="18"/>
              </w:rPr>
              <w:t>QCL-Info</w:t>
            </w:r>
            <w:r w:rsidRPr="009638AE">
              <w:rPr>
                <w:rFonts w:eastAsia="Batang"/>
                <w:sz w:val="14"/>
                <w:szCs w:val="18"/>
              </w:rPr>
              <w:t> of the TCI state is absent, the UE assumes that QCL-Type A/D source RS is in the BWP/CC to which the TCI state applies</w:t>
            </w:r>
          </w:p>
          <w:p w14:paraId="74E373BA" w14:textId="77777777" w:rsidR="009638AE" w:rsidRPr="009638AE" w:rsidRDefault="009638AE" w:rsidP="009638AE">
            <w:pPr>
              <w:numPr>
                <w:ilvl w:val="0"/>
                <w:numId w:val="24"/>
              </w:numPr>
              <w:snapToGrid w:val="0"/>
              <w:spacing w:after="0"/>
              <w:jc w:val="both"/>
              <w:rPr>
                <w:rFonts w:eastAsia="Malgun Gothic"/>
                <w:sz w:val="14"/>
                <w:szCs w:val="18"/>
              </w:rPr>
            </w:pPr>
            <w:r w:rsidRPr="009638AE">
              <w:rPr>
                <w:rFonts w:eastAsia="Malgun Gothic"/>
                <w:sz w:val="14"/>
                <w:szCs w:val="18"/>
              </w:rPr>
              <w:t>Introduce a UE capability to report maximum number of TCI state pools it can support across BWPs and CCs in a band, and the candidate value at least includes 1</w:t>
            </w:r>
          </w:p>
          <w:p w14:paraId="54DB9038" w14:textId="77777777" w:rsidR="009638AE" w:rsidRPr="009638AE" w:rsidRDefault="009638AE" w:rsidP="009638AE">
            <w:pPr>
              <w:numPr>
                <w:ilvl w:val="0"/>
                <w:numId w:val="24"/>
              </w:numPr>
              <w:snapToGrid w:val="0"/>
              <w:spacing w:after="0"/>
              <w:jc w:val="both"/>
              <w:rPr>
                <w:rFonts w:eastAsia="Malgun Gothic"/>
                <w:sz w:val="14"/>
                <w:szCs w:val="18"/>
              </w:rPr>
            </w:pPr>
            <w:r w:rsidRPr="009638AE">
              <w:rPr>
                <w:rFonts w:eastAsia="Malgun Gothic"/>
                <w:sz w:val="14"/>
                <w:szCs w:val="18"/>
              </w:rPr>
              <w:t>FFS: Introduce a UE capability to report maximum number of configured TCI states that it can support across BWPs and CCs in a band</w:t>
            </w:r>
          </w:p>
          <w:p w14:paraId="063892AF" w14:textId="77777777" w:rsidR="009638AE" w:rsidRPr="009638AE" w:rsidRDefault="009638AE" w:rsidP="009638AE">
            <w:pPr>
              <w:numPr>
                <w:ilvl w:val="0"/>
                <w:numId w:val="24"/>
              </w:numPr>
              <w:snapToGrid w:val="0"/>
              <w:spacing w:after="0"/>
              <w:jc w:val="both"/>
              <w:rPr>
                <w:rFonts w:eastAsia="Malgun Gothic"/>
                <w:sz w:val="14"/>
                <w:szCs w:val="18"/>
              </w:rPr>
            </w:pPr>
            <w:r w:rsidRPr="009638AE">
              <w:rPr>
                <w:rFonts w:eastAsia="Malgun Gothic"/>
                <w:sz w:val="14"/>
                <w:szCs w:val="18"/>
              </w:rPr>
              <w:t>FFS: How to define reference BWP/CC</w:t>
            </w:r>
          </w:p>
          <w:p w14:paraId="435FEAFD" w14:textId="77777777" w:rsidR="009638AE" w:rsidRPr="009638AE" w:rsidRDefault="009638AE" w:rsidP="009638AE">
            <w:pPr>
              <w:snapToGrid w:val="0"/>
              <w:spacing w:after="0"/>
              <w:jc w:val="both"/>
              <w:rPr>
                <w:rFonts w:eastAsia="Batang"/>
                <w:sz w:val="14"/>
                <w:szCs w:val="16"/>
              </w:rPr>
            </w:pPr>
          </w:p>
          <w:p w14:paraId="51C6B437" w14:textId="77777777" w:rsidR="009638AE" w:rsidRPr="009638AE" w:rsidRDefault="009638AE" w:rsidP="009638AE">
            <w:pPr>
              <w:snapToGrid w:val="0"/>
              <w:spacing w:after="0"/>
              <w:jc w:val="both"/>
              <w:rPr>
                <w:rFonts w:eastAsia="Calibri"/>
                <w:b/>
                <w:sz w:val="14"/>
                <w:szCs w:val="14"/>
                <w:lang w:val="en-US"/>
              </w:rPr>
            </w:pPr>
            <w:r w:rsidRPr="009638AE">
              <w:rPr>
                <w:rFonts w:eastAsia="Calibri"/>
                <w:b/>
                <w:sz w:val="14"/>
                <w:szCs w:val="14"/>
                <w:lang w:val="en-US"/>
              </w:rPr>
              <w:t>Conclusion</w:t>
            </w:r>
          </w:p>
          <w:p w14:paraId="4EFC86AF" w14:textId="77777777" w:rsidR="009638AE" w:rsidRPr="009638AE" w:rsidRDefault="009638AE" w:rsidP="009638AE">
            <w:pPr>
              <w:snapToGrid w:val="0"/>
              <w:spacing w:after="0"/>
              <w:jc w:val="both"/>
              <w:rPr>
                <w:rFonts w:eastAsia="Calibri" w:cs="Calibri"/>
                <w:sz w:val="16"/>
                <w:szCs w:val="16"/>
                <w:lang w:val="en-US"/>
              </w:rPr>
            </w:pPr>
            <w:r w:rsidRPr="009638AE">
              <w:rPr>
                <w:rFonts w:eastAsia="Calibri"/>
                <w:sz w:val="14"/>
                <w:szCs w:val="14"/>
                <w:lang w:val="en-US"/>
              </w:rPr>
              <w:t>On Rel-17 unified TCI framework, for a UE configured with both joint TCI and separate DL/UL TCI, c</w:t>
            </w:r>
            <w:r w:rsidRPr="009638AE">
              <w:rPr>
                <w:rFonts w:eastAsia="Calibri" w:cs="Calibri"/>
                <w:sz w:val="16"/>
                <w:szCs w:val="16"/>
                <w:lang w:val="en-US"/>
              </w:rPr>
              <w:t>onfiguration of j</w:t>
            </w:r>
            <w:r w:rsidRPr="009638AE">
              <w:rPr>
                <w:rFonts w:eastAsia="Calibri"/>
                <w:sz w:val="14"/>
                <w:szCs w:val="18"/>
                <w:lang w:val="en-US"/>
              </w:rPr>
              <w:t>oint TCI or separate DL/UL TCI</w:t>
            </w:r>
            <w:r w:rsidRPr="009638AE">
              <w:rPr>
                <w:rFonts w:eastAsia="Calibri" w:cs="Calibri"/>
                <w:sz w:val="16"/>
                <w:szCs w:val="16"/>
                <w:lang w:val="en-US"/>
              </w:rPr>
              <w:t xml:space="preserve"> is based on RRC signaling </w:t>
            </w:r>
          </w:p>
          <w:p w14:paraId="48C7C635" w14:textId="77777777" w:rsidR="009638AE" w:rsidRPr="009638AE" w:rsidRDefault="009638AE" w:rsidP="009638AE">
            <w:pPr>
              <w:numPr>
                <w:ilvl w:val="0"/>
                <w:numId w:val="26"/>
              </w:numPr>
              <w:snapToGrid w:val="0"/>
              <w:spacing w:after="0"/>
              <w:jc w:val="both"/>
              <w:rPr>
                <w:rFonts w:eastAsia="Batang"/>
                <w:sz w:val="14"/>
                <w:szCs w:val="18"/>
                <w:lang w:eastAsia="x-none"/>
              </w:rPr>
            </w:pPr>
            <w:r w:rsidRPr="009638AE">
              <w:rPr>
                <w:rFonts w:eastAsia="Batang"/>
                <w:sz w:val="14"/>
                <w:szCs w:val="18"/>
                <w:lang w:eastAsia="x-none"/>
              </w:rPr>
              <w:t>There is no consensus in RAN1 on how to support dynamic switching (either MAC-CE or codepoint based)</w:t>
            </w:r>
          </w:p>
          <w:p w14:paraId="330BC8E7" w14:textId="77777777" w:rsidR="009638AE" w:rsidRPr="009638AE" w:rsidRDefault="009638AE" w:rsidP="009638AE">
            <w:pPr>
              <w:spacing w:after="0"/>
              <w:rPr>
                <w:rFonts w:ascii="Times" w:eastAsia="Batang" w:hAnsi="Times"/>
                <w:sz w:val="14"/>
                <w:szCs w:val="18"/>
                <w:lang w:val="en-US"/>
              </w:rPr>
            </w:pPr>
          </w:p>
          <w:p w14:paraId="6627241A" w14:textId="77777777" w:rsidR="009638AE" w:rsidRPr="009638AE" w:rsidRDefault="009638AE" w:rsidP="009638AE">
            <w:pPr>
              <w:spacing w:after="0"/>
              <w:rPr>
                <w:rFonts w:ascii="Times" w:eastAsia="Batang" w:hAnsi="Times" w:cs="Times"/>
                <w:sz w:val="14"/>
                <w:szCs w:val="16"/>
                <w:lang w:val="en-US" w:eastAsia="zh-CN"/>
              </w:rPr>
            </w:pPr>
            <w:r w:rsidRPr="009638AE">
              <w:rPr>
                <w:rFonts w:ascii="Times" w:eastAsia="Batang" w:hAnsi="Times" w:cs="Times"/>
                <w:b/>
                <w:bCs/>
                <w:color w:val="000000"/>
                <w:sz w:val="14"/>
                <w:szCs w:val="16"/>
                <w:highlight w:val="green"/>
              </w:rPr>
              <w:t>Agreement</w:t>
            </w:r>
          </w:p>
          <w:p w14:paraId="06A0DFA7" w14:textId="77777777" w:rsidR="009638AE" w:rsidRPr="009638AE" w:rsidRDefault="009638AE" w:rsidP="009638AE">
            <w:pPr>
              <w:snapToGrid w:val="0"/>
              <w:spacing w:after="0"/>
              <w:jc w:val="both"/>
              <w:rPr>
                <w:rFonts w:ascii="Times" w:hAnsi="Times" w:cs="Times"/>
                <w:sz w:val="14"/>
                <w:szCs w:val="16"/>
                <w:lang w:val="en-US" w:eastAsia="zh-CN"/>
              </w:rPr>
            </w:pPr>
            <w:r w:rsidRPr="009638AE">
              <w:rPr>
                <w:rFonts w:ascii="Times" w:hAnsi="Times" w:cs="Times"/>
                <w:sz w:val="14"/>
                <w:szCs w:val="16"/>
                <w:lang w:val="en-US" w:eastAsia="zh-CN"/>
              </w:rPr>
              <w:t>On the setting of UL PC parameters except for PL-RS (P0, alpha, closed loop index) for Rel.17 unified TCI framework,</w:t>
            </w:r>
          </w:p>
          <w:p w14:paraId="64B0B3DA" w14:textId="77777777" w:rsidR="009638AE" w:rsidRPr="009638AE" w:rsidRDefault="009638AE" w:rsidP="009638AE">
            <w:pPr>
              <w:numPr>
                <w:ilvl w:val="0"/>
                <w:numId w:val="31"/>
              </w:numPr>
              <w:spacing w:after="0"/>
              <w:rPr>
                <w:rFonts w:ascii="Times" w:eastAsia="Batang" w:hAnsi="Times" w:cs="Times"/>
                <w:sz w:val="14"/>
                <w:szCs w:val="16"/>
              </w:rPr>
            </w:pPr>
            <w:r w:rsidRPr="009638AE">
              <w:rPr>
                <w:rFonts w:ascii="Times" w:eastAsia="Batang" w:hAnsi="Times" w:cs="Times"/>
                <w:sz w:val="14"/>
                <w:szCs w:val="16"/>
              </w:rPr>
              <w:t xml:space="preserve">For each of PUSCH and PUCCH, the setting of (P0, alpha, closed loop index) can be associated with UL or (if applicable) joint TCI state per BWP. </w:t>
            </w:r>
          </w:p>
          <w:p w14:paraId="69F09626" w14:textId="77777777" w:rsidR="009638AE" w:rsidRPr="009638AE" w:rsidRDefault="009638AE" w:rsidP="009638AE">
            <w:pPr>
              <w:numPr>
                <w:ilvl w:val="1"/>
                <w:numId w:val="31"/>
              </w:numPr>
              <w:spacing w:after="0"/>
              <w:rPr>
                <w:rFonts w:ascii="Times" w:eastAsia="Batang" w:hAnsi="Times" w:cs="Times"/>
                <w:sz w:val="14"/>
                <w:szCs w:val="16"/>
              </w:rPr>
            </w:pPr>
            <w:r w:rsidRPr="009638AE">
              <w:rPr>
                <w:rFonts w:ascii="Times" w:eastAsia="Batang" w:hAnsi="Times" w:cs="Times"/>
                <w:sz w:val="14"/>
                <w:szCs w:val="16"/>
              </w:rPr>
              <w:t xml:space="preserve">In this case, multiple settings are configured. Each setting can be associated with at least one TCI state, and, for a given TCI state, only one setting for PUSCH and only one setting for PUCCH can be associated at a time. </w:t>
            </w:r>
          </w:p>
          <w:p w14:paraId="4DBD157B" w14:textId="77777777" w:rsidR="009638AE" w:rsidRPr="009638AE" w:rsidRDefault="009638AE" w:rsidP="009638AE">
            <w:pPr>
              <w:numPr>
                <w:ilvl w:val="1"/>
                <w:numId w:val="31"/>
              </w:numPr>
              <w:spacing w:after="0"/>
              <w:rPr>
                <w:rFonts w:ascii="Times" w:eastAsia="Batang" w:hAnsi="Times" w:cs="Times"/>
                <w:sz w:val="14"/>
                <w:szCs w:val="16"/>
              </w:rPr>
            </w:pPr>
            <w:r w:rsidRPr="009638AE">
              <w:rPr>
                <w:rFonts w:ascii="Times" w:eastAsia="Batang" w:hAnsi="Times" w:cs="Times"/>
                <w:sz w:val="14"/>
                <w:szCs w:val="16"/>
                <w:highlight w:val="darkYellow"/>
              </w:rPr>
              <w:t>(Working Assumption)</w:t>
            </w:r>
            <w:r w:rsidRPr="009638AE">
              <w:rPr>
                <w:rFonts w:ascii="Times" w:eastAsia="Batang" w:hAnsi="Times" w:cs="Times"/>
                <w:sz w:val="14"/>
                <w:szCs w:val="16"/>
              </w:rPr>
              <w:t xml:space="preserve"> In this case, for each of the PUSCH and PUCCH, each of the activated UL or (if applicable) joint TCI states is associated with one of the settings.</w:t>
            </w:r>
          </w:p>
          <w:p w14:paraId="69EDFC2D" w14:textId="77777777" w:rsidR="009638AE" w:rsidRPr="009638AE" w:rsidRDefault="009638AE" w:rsidP="009638AE">
            <w:pPr>
              <w:numPr>
                <w:ilvl w:val="0"/>
                <w:numId w:val="31"/>
              </w:numPr>
              <w:spacing w:after="0"/>
              <w:rPr>
                <w:rFonts w:ascii="Times" w:eastAsia="Batang" w:hAnsi="Times" w:cs="Times"/>
                <w:sz w:val="14"/>
                <w:szCs w:val="16"/>
              </w:rPr>
            </w:pPr>
            <w:r w:rsidRPr="009638AE">
              <w:rPr>
                <w:rFonts w:ascii="Times" w:eastAsia="Batang" w:hAnsi="Times" w:cs="Times"/>
                <w:sz w:val="14"/>
                <w:szCs w:val="16"/>
              </w:rPr>
              <w:t>If not associated, for each of the PUSCH and PUCCH, the setting(s) of (P0, alpha, closed loop index) per channel/signal per BWP is independent of the UL or (if applicable) joint TCI states</w:t>
            </w:r>
          </w:p>
          <w:p w14:paraId="69F04B26" w14:textId="77777777" w:rsidR="009638AE" w:rsidRPr="009638AE" w:rsidRDefault="009638AE" w:rsidP="009638AE">
            <w:pPr>
              <w:numPr>
                <w:ilvl w:val="0"/>
                <w:numId w:val="31"/>
              </w:numPr>
              <w:spacing w:after="0"/>
              <w:rPr>
                <w:rFonts w:ascii="Times" w:eastAsia="Batang" w:hAnsi="Times" w:cs="Times"/>
                <w:sz w:val="14"/>
                <w:szCs w:val="16"/>
              </w:rPr>
            </w:pPr>
            <w:r w:rsidRPr="009638AE">
              <w:rPr>
                <w:rFonts w:ascii="Times" w:eastAsia="Batang" w:hAnsi="Times" w:cs="Times"/>
                <w:sz w:val="14"/>
                <w:szCs w:val="16"/>
              </w:rPr>
              <w:t>FFS: If the setting of (P0, alpha, closed loop index) for SRS can also be associated with UL or (if applicable) joint TCI state.</w:t>
            </w:r>
          </w:p>
          <w:p w14:paraId="427FD3DC" w14:textId="77777777" w:rsidR="009638AE" w:rsidRPr="009638AE" w:rsidRDefault="009638AE" w:rsidP="009638AE">
            <w:pPr>
              <w:numPr>
                <w:ilvl w:val="0"/>
                <w:numId w:val="31"/>
              </w:numPr>
              <w:spacing w:after="0"/>
              <w:rPr>
                <w:rFonts w:ascii="Times" w:eastAsia="Batang" w:hAnsi="Times" w:cs="Times"/>
                <w:sz w:val="14"/>
                <w:szCs w:val="16"/>
              </w:rPr>
            </w:pPr>
            <w:r w:rsidRPr="009638AE">
              <w:rPr>
                <w:rFonts w:ascii="Times" w:eastAsia="Batang" w:hAnsi="Times" w:cs="Times"/>
                <w:sz w:val="14"/>
                <w:szCs w:val="16"/>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3CEF7DB5" w14:textId="77777777" w:rsidR="009638AE" w:rsidRPr="009638AE" w:rsidRDefault="009638AE" w:rsidP="009638AE">
            <w:pPr>
              <w:spacing w:after="0"/>
              <w:rPr>
                <w:rFonts w:ascii="Times" w:eastAsia="Batang" w:hAnsi="Times"/>
                <w:sz w:val="14"/>
                <w:szCs w:val="18"/>
              </w:rPr>
            </w:pPr>
          </w:p>
          <w:p w14:paraId="4AB659FA" w14:textId="77777777" w:rsidR="009638AE" w:rsidRPr="009638AE" w:rsidRDefault="009638AE" w:rsidP="009638AE">
            <w:pPr>
              <w:spacing w:after="0"/>
              <w:rPr>
                <w:rFonts w:ascii="Times" w:eastAsia="Batang" w:hAnsi="Times" w:cs="Times"/>
                <w:sz w:val="14"/>
                <w:szCs w:val="16"/>
                <w:lang w:val="en-US" w:eastAsia="zh-CN"/>
              </w:rPr>
            </w:pPr>
            <w:r w:rsidRPr="009638AE">
              <w:rPr>
                <w:rFonts w:ascii="Times" w:eastAsia="Batang" w:hAnsi="Times" w:cs="Times"/>
                <w:b/>
                <w:bCs/>
                <w:color w:val="000000"/>
                <w:sz w:val="14"/>
                <w:szCs w:val="16"/>
                <w:highlight w:val="green"/>
              </w:rPr>
              <w:t>Agreement</w:t>
            </w:r>
          </w:p>
          <w:p w14:paraId="50A6A1C3" w14:textId="77777777" w:rsidR="009638AE" w:rsidRPr="009638AE" w:rsidRDefault="009638AE" w:rsidP="009638AE">
            <w:pPr>
              <w:spacing w:after="0"/>
              <w:jc w:val="both"/>
              <w:rPr>
                <w:rFonts w:ascii="Times" w:eastAsia="Batang" w:hAnsi="Times" w:cs="Times"/>
                <w:sz w:val="14"/>
                <w:szCs w:val="16"/>
              </w:rPr>
            </w:pPr>
            <w:r w:rsidRPr="009638AE">
              <w:rPr>
                <w:rFonts w:ascii="Times" w:eastAsia="Batang" w:hAnsi="Times" w:cs="Times"/>
                <w:sz w:val="14"/>
                <w:szCs w:val="16"/>
              </w:rPr>
              <w:t>On Rel-17 unified TCI, in RAN1#106-e, for M&gt;1 and/or N&gt;1:</w:t>
            </w:r>
          </w:p>
          <w:p w14:paraId="23989CCB" w14:textId="77777777" w:rsidR="009638AE" w:rsidRPr="009638AE" w:rsidRDefault="009638AE" w:rsidP="009638AE">
            <w:pPr>
              <w:numPr>
                <w:ilvl w:val="0"/>
                <w:numId w:val="31"/>
              </w:numPr>
              <w:spacing w:after="0"/>
              <w:rPr>
                <w:rFonts w:ascii="Times" w:eastAsia="Batang" w:hAnsi="Times" w:cs="Times"/>
                <w:sz w:val="14"/>
                <w:szCs w:val="16"/>
              </w:rPr>
            </w:pPr>
            <w:r w:rsidRPr="009638AE">
              <w:rPr>
                <w:rFonts w:ascii="Times" w:eastAsia="Batang" w:hAnsi="Times" w:cs="Times"/>
                <w:sz w:val="14"/>
                <w:szCs w:val="16"/>
              </w:rPr>
              <w:t>Identify and agree on use cases </w:t>
            </w:r>
          </w:p>
          <w:p w14:paraId="30C3E141" w14:textId="77777777" w:rsidR="009638AE" w:rsidRPr="009638AE" w:rsidRDefault="009638AE" w:rsidP="009638AE">
            <w:pPr>
              <w:numPr>
                <w:ilvl w:val="0"/>
                <w:numId w:val="31"/>
              </w:numPr>
              <w:spacing w:after="0"/>
              <w:rPr>
                <w:rFonts w:ascii="Times" w:eastAsia="Batang" w:hAnsi="Times" w:cs="Times"/>
                <w:sz w:val="14"/>
                <w:szCs w:val="16"/>
              </w:rPr>
            </w:pPr>
            <w:r w:rsidRPr="009638AE">
              <w:rPr>
                <w:rFonts w:ascii="Times" w:eastAsia="Batang" w:hAnsi="Times" w:cs="Times"/>
                <w:sz w:val="14"/>
                <w:szCs w:val="16"/>
              </w:rPr>
              <w:t>Decide whether to support M&gt;1 and/or N&gt;1, and if so, the maximum value of M and/or N</w:t>
            </w:r>
          </w:p>
          <w:p w14:paraId="65A5355B" w14:textId="77777777" w:rsidR="009638AE" w:rsidRPr="009638AE" w:rsidRDefault="009638AE" w:rsidP="009638AE">
            <w:pPr>
              <w:numPr>
                <w:ilvl w:val="0"/>
                <w:numId w:val="31"/>
              </w:numPr>
              <w:spacing w:after="0"/>
              <w:rPr>
                <w:rFonts w:ascii="Times" w:eastAsia="Batang" w:hAnsi="Times" w:cs="Times"/>
                <w:sz w:val="14"/>
                <w:szCs w:val="16"/>
              </w:rPr>
            </w:pPr>
            <w:r w:rsidRPr="009638AE">
              <w:rPr>
                <w:rFonts w:ascii="Times" w:eastAsia="Batang" w:hAnsi="Times" w:cs="Times"/>
                <w:sz w:val="14"/>
                <w:szCs w:val="16"/>
              </w:rPr>
              <w:t>If supported, identify feasible candidate schemes for beam indication signaling mechanism (including TCI state activation)</w:t>
            </w:r>
          </w:p>
          <w:p w14:paraId="0DFCCD7C" w14:textId="77777777" w:rsidR="009638AE" w:rsidRPr="009638AE" w:rsidRDefault="009638AE" w:rsidP="009638AE">
            <w:pPr>
              <w:spacing w:after="0"/>
              <w:jc w:val="both"/>
              <w:rPr>
                <w:rFonts w:ascii="Times" w:eastAsia="Batang" w:hAnsi="Times" w:cs="Times"/>
                <w:sz w:val="14"/>
                <w:szCs w:val="16"/>
              </w:rPr>
            </w:pPr>
            <w:r w:rsidRPr="009638AE">
              <w:rPr>
                <w:rFonts w:ascii="Times" w:eastAsia="Batang" w:hAnsi="Times" w:cs="Times"/>
                <w:sz w:val="14"/>
                <w:szCs w:val="16"/>
              </w:rPr>
              <w:t>Note:</w:t>
            </w:r>
          </w:p>
          <w:p w14:paraId="3663D754" w14:textId="77777777" w:rsidR="009638AE" w:rsidRPr="009638AE" w:rsidRDefault="009638AE" w:rsidP="009638AE">
            <w:pPr>
              <w:numPr>
                <w:ilvl w:val="0"/>
                <w:numId w:val="32"/>
              </w:numPr>
              <w:spacing w:after="0"/>
              <w:rPr>
                <w:rFonts w:ascii="Times" w:eastAsia="Batang" w:hAnsi="Times" w:cs="Times"/>
                <w:sz w:val="14"/>
                <w:szCs w:val="16"/>
              </w:rPr>
            </w:pPr>
            <w:r w:rsidRPr="009638AE">
              <w:rPr>
                <w:rFonts w:ascii="Times" w:eastAsia="Batang" w:hAnsi="Times" w:cs="Times"/>
                <w:sz w:val="14"/>
                <w:szCs w:val="16"/>
              </w:rPr>
              <w:t>Previous agreement in RAN1#104b-e that remaining unused DCI fields and codepoints are reserved in R17 are not to be reverted.</w:t>
            </w:r>
          </w:p>
          <w:p w14:paraId="2F487DB8" w14:textId="77777777" w:rsidR="009638AE" w:rsidRPr="009638AE" w:rsidRDefault="009638AE" w:rsidP="009638AE">
            <w:pPr>
              <w:numPr>
                <w:ilvl w:val="0"/>
                <w:numId w:val="32"/>
              </w:numPr>
              <w:spacing w:after="0"/>
              <w:rPr>
                <w:rFonts w:ascii="Times" w:eastAsia="Batang" w:hAnsi="Times" w:cs="Times"/>
                <w:sz w:val="14"/>
                <w:szCs w:val="16"/>
              </w:rPr>
            </w:pPr>
            <w:r w:rsidRPr="009638AE">
              <w:rPr>
                <w:rFonts w:ascii="Times" w:eastAsia="Batang" w:hAnsi="Times" w:cs="Times"/>
                <w:sz w:val="14"/>
                <w:szCs w:val="16"/>
              </w:rPr>
              <w:t>The use case of simultaneous UL transmission from multiple UE panels are not to be considered in Rel-17 as it is out of scope</w:t>
            </w:r>
          </w:p>
          <w:p w14:paraId="0B0BCB45" w14:textId="77777777" w:rsidR="009638AE" w:rsidRPr="009638AE" w:rsidRDefault="009638AE" w:rsidP="009638AE">
            <w:pPr>
              <w:spacing w:after="0"/>
              <w:rPr>
                <w:rFonts w:ascii="Times" w:eastAsia="Batang" w:hAnsi="Times" w:cs="Times"/>
                <w:sz w:val="12"/>
                <w:szCs w:val="18"/>
              </w:rPr>
            </w:pPr>
          </w:p>
          <w:p w14:paraId="5E81DE39" w14:textId="77777777" w:rsidR="009638AE" w:rsidRPr="009638AE" w:rsidRDefault="009638AE" w:rsidP="009638AE">
            <w:pPr>
              <w:spacing w:after="0"/>
              <w:jc w:val="both"/>
              <w:rPr>
                <w:rFonts w:ascii="Times" w:eastAsia="Batang" w:hAnsi="Times" w:cs="Times"/>
                <w:b/>
                <w:bCs/>
                <w:sz w:val="14"/>
                <w:szCs w:val="16"/>
              </w:rPr>
            </w:pPr>
            <w:r w:rsidRPr="009638AE">
              <w:rPr>
                <w:rFonts w:ascii="Times" w:eastAsia="Batang" w:hAnsi="Times" w:cs="Times"/>
                <w:b/>
                <w:sz w:val="14"/>
                <w:szCs w:val="18"/>
              </w:rPr>
              <w:t>For future meetings:</w:t>
            </w:r>
          </w:p>
          <w:p w14:paraId="485A084B" w14:textId="77777777" w:rsidR="00EF52F7" w:rsidRDefault="009638AE" w:rsidP="009638AE">
            <w:pPr>
              <w:spacing w:after="0"/>
              <w:jc w:val="both"/>
              <w:rPr>
                <w:rFonts w:ascii="Times" w:eastAsia="Batang" w:hAnsi="Times" w:cs="Times"/>
                <w:sz w:val="14"/>
                <w:szCs w:val="16"/>
              </w:rPr>
            </w:pPr>
            <w:r w:rsidRPr="009638AE">
              <w:rPr>
                <w:rFonts w:ascii="Times" w:eastAsia="Batang" w:hAnsi="Times" w:cs="Times"/>
                <w:sz w:val="14"/>
                <w:szCs w:val="16"/>
              </w:rPr>
              <w:t>Continue to study necessary enhancements to optimize transmission from UEs with different number of max number of UL MIMO layers per panel entity</w:t>
            </w:r>
          </w:p>
          <w:p w14:paraId="521D64A5" w14:textId="41CBF3F0" w:rsidR="009638AE" w:rsidRPr="009638AE" w:rsidRDefault="009638AE" w:rsidP="009638AE">
            <w:pPr>
              <w:spacing w:after="0"/>
              <w:jc w:val="both"/>
              <w:rPr>
                <w:rFonts w:ascii="Times" w:eastAsia="Batang" w:hAnsi="Times" w:cs="Times"/>
                <w:sz w:val="14"/>
                <w:szCs w:val="16"/>
              </w:rPr>
            </w:pPr>
          </w:p>
        </w:tc>
      </w:tr>
    </w:tbl>
    <w:p w14:paraId="52AA7F6A" w14:textId="77777777" w:rsidR="006C1A0F" w:rsidRPr="006C1A0F" w:rsidRDefault="006C1A0F" w:rsidP="006C1A0F">
      <w:pPr>
        <w:jc w:val="both"/>
        <w:rPr>
          <w:b/>
          <w:lang w:eastAsia="ja-JP"/>
        </w:rPr>
      </w:pPr>
      <w:bookmarkStart w:id="4" w:name="_Hlk525732985"/>
    </w:p>
    <w:bookmarkEnd w:id="3"/>
    <w:p w14:paraId="71E6ED6E"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1 – Unified TCI Framework</w:t>
      </w:r>
    </w:p>
    <w:p w14:paraId="11314A27" w14:textId="39953972" w:rsidR="002F5A57" w:rsidRDefault="00CF7FDC" w:rsidP="006C1A0F">
      <w:pPr>
        <w:jc w:val="both"/>
      </w:pPr>
      <w:r w:rsidRPr="00CF7FDC">
        <w:t xml:space="preserve">One remaining issue from last meeting is </w:t>
      </w:r>
      <w:r w:rsidR="002F5A57">
        <w:t xml:space="preserve">M and N can be only 1 or larger than 1. In our view, M and N larger than 1 should be supported to provide multiple active beams for reliability. Such flexibility is already supported in R15/16, where 2 active control beams </w:t>
      </w:r>
      <w:r w:rsidR="00C52191">
        <w:t xml:space="preserve">are supported as minimum UE capability </w:t>
      </w:r>
      <w:r w:rsidR="002F5A57">
        <w:t xml:space="preserve">even for single TRP scenario.  </w:t>
      </w:r>
    </w:p>
    <w:p w14:paraId="5D40308C" w14:textId="6E0F3292" w:rsidR="00CF7FDC" w:rsidRDefault="00CF7FDC" w:rsidP="00CF7FDC">
      <w:pPr>
        <w:jc w:val="both"/>
        <w:rPr>
          <w:b/>
          <w:lang w:eastAsia="ja-JP"/>
        </w:rPr>
      </w:pPr>
      <w:r w:rsidRPr="00393471">
        <w:rPr>
          <w:b/>
          <w:u w:val="single"/>
          <w:lang w:eastAsia="ja-JP"/>
        </w:rPr>
        <w:t>Proposal 1</w:t>
      </w:r>
      <w:r w:rsidRPr="00393471">
        <w:rPr>
          <w:b/>
          <w:lang w:eastAsia="ja-JP"/>
        </w:rPr>
        <w:t>: Support</w:t>
      </w:r>
      <w:r w:rsidRPr="006C1A0F">
        <w:rPr>
          <w:b/>
          <w:lang w:eastAsia="ja-JP"/>
        </w:rPr>
        <w:t xml:space="preserve"> </w:t>
      </w:r>
      <w:r>
        <w:rPr>
          <w:b/>
          <w:lang w:eastAsia="ja-JP"/>
        </w:rPr>
        <w:t xml:space="preserve">M&gt;1 and N&gt;1 active </w:t>
      </w:r>
      <w:r w:rsidR="00587982">
        <w:rPr>
          <w:b/>
          <w:lang w:eastAsia="ja-JP"/>
        </w:rPr>
        <w:t>joint or separate DL/UL</w:t>
      </w:r>
      <w:r>
        <w:rPr>
          <w:b/>
          <w:lang w:eastAsia="ja-JP"/>
        </w:rPr>
        <w:t xml:space="preserve"> TCI states</w:t>
      </w:r>
      <w:r w:rsidRPr="006C1A0F">
        <w:rPr>
          <w:b/>
          <w:lang w:eastAsia="ja-JP"/>
        </w:rPr>
        <w:t>.</w:t>
      </w:r>
    </w:p>
    <w:p w14:paraId="241126DD" w14:textId="2A5EAAA0" w:rsidR="00225F73" w:rsidRPr="0092759A" w:rsidRDefault="0040039A" w:rsidP="00CF7FDC">
      <w:pPr>
        <w:jc w:val="both"/>
      </w:pPr>
      <w:r w:rsidRPr="006C1A0F">
        <w:t xml:space="preserve">In </w:t>
      </w:r>
      <w:r>
        <w:t>RAN1 #103e</w:t>
      </w:r>
      <w:r w:rsidRPr="006C1A0F">
        <w:t xml:space="preserve">, it was agreed that the joint DL/UL TCI states will be configured in one pool, which may or may not be shared with separate DL/UL TCI states. We slightly prefer a common pool shared by all types of TCI states. This way does not need to solve the ambiguity of TCI type for the same TCI ID. Furthermore, the same TCI field in DCI can indicate all types of TCI states. </w:t>
      </w:r>
    </w:p>
    <w:p w14:paraId="029357CF" w14:textId="77777777" w:rsidR="00CF7FDC" w:rsidRPr="006C1A0F" w:rsidRDefault="00CF7FDC" w:rsidP="00CF7FDC">
      <w:pPr>
        <w:jc w:val="both"/>
        <w:rPr>
          <w:b/>
          <w:lang w:eastAsia="ja-JP"/>
        </w:rPr>
      </w:pPr>
      <w:r w:rsidRPr="006C1A0F">
        <w:rPr>
          <w:b/>
          <w:u w:val="single"/>
          <w:lang w:eastAsia="ja-JP"/>
        </w:rPr>
        <w:t>Proposal 2</w:t>
      </w:r>
      <w:r w:rsidRPr="006C1A0F">
        <w:rPr>
          <w:b/>
          <w:lang w:eastAsia="ja-JP"/>
        </w:rPr>
        <w:t xml:space="preserve">: Support a common pool for all types of TCI states. </w:t>
      </w:r>
    </w:p>
    <w:p w14:paraId="2B8B7630" w14:textId="222BB65F" w:rsidR="00E41E7D" w:rsidRDefault="00CF1733" w:rsidP="00CF7FDC">
      <w:pPr>
        <w:jc w:val="both"/>
      </w:pPr>
      <w:r>
        <w:lastRenderedPageBreak/>
        <w:t>In RAN1 #105e, it has been agreed to introduce UE capability on support of beam misalignment between UL beam indicated by the UL or joint TCI state and Rx beam of the associated PL RS.</w:t>
      </w:r>
      <w:r w:rsidR="00AB658C">
        <w:t xml:space="preserve"> However, the capability definition needs to be clarified. If the PL RS has QCL-TypeD source RS, its Rx beam is determined by the QCL-TypeD RS. </w:t>
      </w:r>
      <w:r w:rsidR="0077572C">
        <w:t>In this case, the beam misalignment can be defined as when the QCL-TypeD RS of the PL RS is not the same as the spatial relation RS in the UL or joint TCI state, which determines the UL beam. If the PL RS has no QCL-TypeD RS, e.g. SSB or CSI-RS without configured TCI state, its Rx beam is determined by the PL RS itself. In this case, the beam misalignment can be defined as when the PL RS is not the same as the spatial relation RS in the UL or joint TCI state.</w:t>
      </w:r>
    </w:p>
    <w:p w14:paraId="6276944C" w14:textId="35C48F7B" w:rsidR="00E41E7D" w:rsidRDefault="00E41E7D" w:rsidP="00CF1733">
      <w:pPr>
        <w:jc w:val="both"/>
        <w:rPr>
          <w:rFonts w:eastAsia="PMingLiU"/>
          <w:b/>
          <w:lang w:val="en-US" w:eastAsia="ja-JP"/>
        </w:rPr>
      </w:pPr>
      <w:r w:rsidRPr="006D0FFA">
        <w:rPr>
          <w:b/>
          <w:u w:val="single"/>
          <w:lang w:eastAsia="ja-JP"/>
        </w:rPr>
        <w:t xml:space="preserve">Proposal </w:t>
      </w:r>
      <w:r w:rsidR="00790779" w:rsidRPr="006D0FFA">
        <w:rPr>
          <w:b/>
          <w:u w:val="single"/>
          <w:lang w:eastAsia="ja-JP"/>
        </w:rPr>
        <w:t>3</w:t>
      </w:r>
      <w:r w:rsidRPr="00BF20B3">
        <w:rPr>
          <w:b/>
          <w:lang w:eastAsia="ja-JP"/>
        </w:rPr>
        <w:t>: UE capability</w:t>
      </w:r>
      <w:r w:rsidRPr="00AF2984">
        <w:rPr>
          <w:b/>
          <w:lang w:eastAsia="ja-JP"/>
        </w:rPr>
        <w:t xml:space="preserve"> </w:t>
      </w:r>
      <w:r w:rsidR="00CF1733">
        <w:rPr>
          <w:b/>
          <w:lang w:eastAsia="ja-JP"/>
        </w:rPr>
        <w:t>of</w:t>
      </w:r>
      <w:r w:rsidRPr="00C15000">
        <w:rPr>
          <w:rFonts w:eastAsia="PMingLiU"/>
          <w:b/>
          <w:lang w:val="en-US" w:eastAsia="ja-JP"/>
        </w:rPr>
        <w:t xml:space="preserve"> </w:t>
      </w:r>
      <w:r>
        <w:rPr>
          <w:rFonts w:eastAsia="PMingLiU"/>
          <w:b/>
          <w:lang w:val="en-US" w:eastAsia="ja-JP"/>
        </w:rPr>
        <w:t>“</w:t>
      </w:r>
      <w:r w:rsidRPr="00C15000">
        <w:rPr>
          <w:rFonts w:eastAsia="PMingLiU"/>
          <w:b/>
          <w:lang w:val="en-US" w:eastAsia="ja-JP"/>
        </w:rPr>
        <w:t>beam misalignment</w:t>
      </w:r>
      <w:r>
        <w:rPr>
          <w:rFonts w:eastAsia="PMingLiU"/>
          <w:b/>
          <w:lang w:val="en-US" w:eastAsia="ja-JP"/>
        </w:rPr>
        <w:t>”</w:t>
      </w:r>
      <w:r w:rsidRPr="00C15000">
        <w:rPr>
          <w:rFonts w:eastAsia="PMingLiU"/>
          <w:b/>
          <w:lang w:val="en-US" w:eastAsia="ja-JP"/>
        </w:rPr>
        <w:t xml:space="preserve"> </w:t>
      </w:r>
      <w:r w:rsidR="002527A9">
        <w:rPr>
          <w:rFonts w:eastAsia="PMingLiU"/>
          <w:b/>
          <w:lang w:val="en-US" w:eastAsia="ja-JP"/>
        </w:rPr>
        <w:t>is</w:t>
      </w:r>
      <w:r w:rsidRPr="00C15000">
        <w:rPr>
          <w:rFonts w:eastAsia="PMingLiU"/>
          <w:b/>
          <w:lang w:val="en-US" w:eastAsia="ja-JP"/>
        </w:rPr>
        <w:t xml:space="preserve"> defined </w:t>
      </w:r>
      <w:r>
        <w:rPr>
          <w:rFonts w:eastAsia="PMingLiU"/>
          <w:b/>
          <w:lang w:val="en-US" w:eastAsia="ja-JP"/>
        </w:rPr>
        <w:t>as</w:t>
      </w:r>
      <w:r w:rsidR="00CF1733">
        <w:rPr>
          <w:rFonts w:eastAsia="PMingLiU"/>
          <w:b/>
          <w:lang w:val="en-US" w:eastAsia="ja-JP"/>
        </w:rPr>
        <w:t xml:space="preserve"> below</w:t>
      </w:r>
    </w:p>
    <w:p w14:paraId="7A2416BA" w14:textId="7DBD475F" w:rsidR="00E41E7D" w:rsidRDefault="00CF1733" w:rsidP="00E41E7D">
      <w:pPr>
        <w:numPr>
          <w:ilvl w:val="1"/>
          <w:numId w:val="4"/>
        </w:numPr>
        <w:spacing w:after="0"/>
        <w:jc w:val="both"/>
        <w:rPr>
          <w:rFonts w:eastAsia="PMingLiU"/>
          <w:b/>
          <w:lang w:val="en-US" w:eastAsia="ja-JP"/>
        </w:rPr>
      </w:pPr>
      <w:r>
        <w:rPr>
          <w:rFonts w:eastAsia="PMingLiU"/>
          <w:b/>
          <w:lang w:val="en-US" w:eastAsia="ja-JP"/>
        </w:rPr>
        <w:t>If</w:t>
      </w:r>
      <w:r w:rsidR="00E41E7D">
        <w:rPr>
          <w:rFonts w:eastAsia="PMingLiU"/>
          <w:b/>
          <w:lang w:val="en-US" w:eastAsia="ja-JP"/>
        </w:rPr>
        <w:t xml:space="preserve"> </w:t>
      </w:r>
      <w:r>
        <w:rPr>
          <w:rFonts w:eastAsia="PMingLiU"/>
          <w:b/>
          <w:lang w:val="en-US" w:eastAsia="ja-JP"/>
        </w:rPr>
        <w:t xml:space="preserve">the PL RS has </w:t>
      </w:r>
      <w:r w:rsidR="00E41E7D">
        <w:rPr>
          <w:rFonts w:eastAsia="PMingLiU"/>
          <w:b/>
          <w:lang w:val="en-US" w:eastAsia="ja-JP"/>
        </w:rPr>
        <w:t xml:space="preserve">QCL-TypeD </w:t>
      </w:r>
      <w:r>
        <w:rPr>
          <w:rFonts w:eastAsia="PMingLiU"/>
          <w:b/>
          <w:lang w:val="en-US" w:eastAsia="ja-JP"/>
        </w:rPr>
        <w:t xml:space="preserve">source </w:t>
      </w:r>
      <w:r w:rsidR="00E41E7D">
        <w:rPr>
          <w:rFonts w:eastAsia="PMingLiU"/>
          <w:b/>
          <w:lang w:val="en-US" w:eastAsia="ja-JP"/>
        </w:rPr>
        <w:t>RS</w:t>
      </w:r>
      <w:r>
        <w:rPr>
          <w:rFonts w:eastAsia="PMingLiU"/>
          <w:b/>
          <w:lang w:val="en-US" w:eastAsia="ja-JP"/>
        </w:rPr>
        <w:t xml:space="preserve">, beam misalignment </w:t>
      </w:r>
      <w:r w:rsidR="00D07D90">
        <w:rPr>
          <w:rFonts w:eastAsia="PMingLiU"/>
          <w:b/>
          <w:lang w:val="en-US" w:eastAsia="ja-JP"/>
        </w:rPr>
        <w:t>is defined as</w:t>
      </w:r>
      <w:r w:rsidR="006009E6">
        <w:rPr>
          <w:rFonts w:eastAsia="PMingLiU"/>
          <w:b/>
          <w:lang w:val="en-US" w:eastAsia="ja-JP"/>
        </w:rPr>
        <w:t xml:space="preserve"> the event that</w:t>
      </w:r>
      <w:r>
        <w:rPr>
          <w:rFonts w:eastAsia="PMingLiU"/>
          <w:b/>
          <w:lang w:val="en-US" w:eastAsia="ja-JP"/>
        </w:rPr>
        <w:t xml:space="preserve"> t</w:t>
      </w:r>
      <w:r w:rsidRPr="00CF1733">
        <w:rPr>
          <w:rFonts w:eastAsia="PMingLiU"/>
          <w:b/>
          <w:lang w:val="en-US" w:eastAsia="ja-JP"/>
        </w:rPr>
        <w:t xml:space="preserve">he spatial relation RS in the </w:t>
      </w:r>
      <w:r w:rsidR="006009E6">
        <w:rPr>
          <w:rFonts w:eastAsia="PMingLiU"/>
          <w:b/>
          <w:lang w:val="en-US" w:eastAsia="ja-JP"/>
        </w:rPr>
        <w:t xml:space="preserve">UL or joint </w:t>
      </w:r>
      <w:r w:rsidRPr="00CF1733">
        <w:rPr>
          <w:rFonts w:eastAsia="PMingLiU"/>
          <w:b/>
          <w:lang w:val="en-US" w:eastAsia="ja-JP"/>
        </w:rPr>
        <w:t>TCI state is not the QCL-TypeD RS of the PL RS</w:t>
      </w:r>
      <w:r>
        <w:rPr>
          <w:rFonts w:eastAsia="PMingLiU"/>
          <w:b/>
          <w:lang w:val="en-US" w:eastAsia="ja-JP"/>
        </w:rPr>
        <w:t>.</w:t>
      </w:r>
    </w:p>
    <w:p w14:paraId="7E831C51" w14:textId="24A7FE06" w:rsidR="00CD3FE0" w:rsidRPr="005D5373" w:rsidRDefault="00CF1733" w:rsidP="00CD3FE0">
      <w:pPr>
        <w:numPr>
          <w:ilvl w:val="1"/>
          <w:numId w:val="4"/>
        </w:numPr>
        <w:spacing w:after="0"/>
        <w:jc w:val="both"/>
        <w:rPr>
          <w:rFonts w:eastAsia="PMingLiU"/>
          <w:b/>
          <w:lang w:val="en-US" w:eastAsia="ja-JP"/>
        </w:rPr>
      </w:pPr>
      <w:r>
        <w:rPr>
          <w:rFonts w:eastAsia="PMingLiU"/>
          <w:b/>
          <w:lang w:val="en-US" w:eastAsia="ja-JP"/>
        </w:rPr>
        <w:t xml:space="preserve">Otherwise, beam misalignment </w:t>
      </w:r>
      <w:r w:rsidR="00D07D90">
        <w:rPr>
          <w:rFonts w:eastAsia="PMingLiU"/>
          <w:b/>
          <w:lang w:val="en-US" w:eastAsia="ja-JP"/>
        </w:rPr>
        <w:t>is defined as</w:t>
      </w:r>
      <w:r w:rsidR="006009E6">
        <w:rPr>
          <w:rFonts w:eastAsia="PMingLiU"/>
          <w:b/>
          <w:lang w:val="en-US" w:eastAsia="ja-JP"/>
        </w:rPr>
        <w:t xml:space="preserve"> the event that</w:t>
      </w:r>
      <w:r>
        <w:rPr>
          <w:rFonts w:eastAsia="PMingLiU"/>
          <w:b/>
          <w:lang w:val="en-US" w:eastAsia="ja-JP"/>
        </w:rPr>
        <w:t xml:space="preserve"> t</w:t>
      </w:r>
      <w:r w:rsidR="00E41E7D" w:rsidRPr="006B0796">
        <w:rPr>
          <w:rFonts w:eastAsia="PMingLiU"/>
          <w:b/>
          <w:lang w:val="en-US" w:eastAsia="ja-JP"/>
        </w:rPr>
        <w:t xml:space="preserve">he spatial </w:t>
      </w:r>
      <w:r w:rsidR="00E41E7D">
        <w:rPr>
          <w:rFonts w:eastAsia="PMingLiU"/>
          <w:b/>
          <w:lang w:val="en-US" w:eastAsia="ja-JP"/>
        </w:rPr>
        <w:t xml:space="preserve">relation </w:t>
      </w:r>
      <w:r w:rsidR="00E41E7D" w:rsidRPr="006B0796">
        <w:rPr>
          <w:rFonts w:eastAsia="PMingLiU"/>
          <w:b/>
          <w:lang w:val="en-US" w:eastAsia="ja-JP"/>
        </w:rPr>
        <w:t xml:space="preserve">RS in </w:t>
      </w:r>
      <w:r w:rsidR="00E41E7D">
        <w:rPr>
          <w:rFonts w:eastAsia="PMingLiU"/>
          <w:b/>
          <w:lang w:val="en-US" w:eastAsia="ja-JP"/>
        </w:rPr>
        <w:t xml:space="preserve">the </w:t>
      </w:r>
      <w:r w:rsidR="006009E6">
        <w:rPr>
          <w:rFonts w:eastAsia="PMingLiU"/>
          <w:b/>
          <w:lang w:val="en-US" w:eastAsia="ja-JP"/>
        </w:rPr>
        <w:t xml:space="preserve">UL or joint </w:t>
      </w:r>
      <w:r w:rsidR="00E41E7D" w:rsidRPr="006B0796">
        <w:rPr>
          <w:rFonts w:eastAsia="PMingLiU"/>
          <w:b/>
          <w:lang w:val="en-US" w:eastAsia="ja-JP"/>
        </w:rPr>
        <w:t xml:space="preserve">TCI </w:t>
      </w:r>
      <w:r w:rsidR="00E41E7D">
        <w:rPr>
          <w:rFonts w:eastAsia="PMingLiU"/>
          <w:b/>
          <w:lang w:val="en-US" w:eastAsia="ja-JP"/>
        </w:rPr>
        <w:t xml:space="preserve">state </w:t>
      </w:r>
      <w:r w:rsidR="00E41E7D" w:rsidRPr="006B0796">
        <w:rPr>
          <w:rFonts w:eastAsia="PMingLiU"/>
          <w:b/>
          <w:lang w:val="en-US" w:eastAsia="ja-JP"/>
        </w:rPr>
        <w:t>is not the PL RS</w:t>
      </w:r>
      <w:r w:rsidR="00E41E7D">
        <w:rPr>
          <w:rFonts w:eastAsia="PMingLiU"/>
          <w:b/>
          <w:lang w:val="en-US" w:eastAsia="ja-JP"/>
        </w:rPr>
        <w:t xml:space="preserve"> itself</w:t>
      </w:r>
      <w:r>
        <w:rPr>
          <w:rFonts w:eastAsia="PMingLiU"/>
          <w:b/>
          <w:lang w:val="en-US" w:eastAsia="ja-JP"/>
        </w:rPr>
        <w:t>.</w:t>
      </w:r>
    </w:p>
    <w:p w14:paraId="7B161043" w14:textId="7B711C38" w:rsidR="00E41E7D" w:rsidRDefault="00E41E7D" w:rsidP="00E41E7D">
      <w:pPr>
        <w:spacing w:after="0"/>
        <w:ind w:left="1440"/>
        <w:jc w:val="both"/>
        <w:rPr>
          <w:rFonts w:eastAsia="PMingLiU"/>
          <w:b/>
          <w:lang w:val="en-US" w:eastAsia="ja-JP"/>
        </w:rPr>
      </w:pPr>
    </w:p>
    <w:p w14:paraId="7C9A7E89" w14:textId="2A645DA8" w:rsidR="00145527" w:rsidRPr="00E45580" w:rsidRDefault="00145527" w:rsidP="00E45580">
      <w:pPr>
        <w:jc w:val="both"/>
      </w:pPr>
      <w:r>
        <w:t xml:space="preserve">In RAN1 #105e, </w:t>
      </w:r>
      <w:r w:rsidR="00BA508B">
        <w:t>it has been agreed that PC parameters except for PL RS can be associated with UL or joint TCI state</w:t>
      </w:r>
      <w:r>
        <w:t>.</w:t>
      </w:r>
      <w:r w:rsidR="00BA508B">
        <w:t xml:space="preserve"> If no associated PC parameter, TCI independent PC parameters will be used. However, it is unclear whether TCI dependent and independent PC parameters can be simultaneously configured. In our view, both TCI dependent and independent PC parameters can be simultaneously configured for better NW flexibility. </w:t>
      </w:r>
      <w:r w:rsidR="2B7A1C50">
        <w:t xml:space="preserve">One </w:t>
      </w:r>
      <w:r w:rsidR="002E51C3">
        <w:t xml:space="preserve">use case </w:t>
      </w:r>
      <w:r w:rsidR="00665FB0">
        <w:t>could be</w:t>
      </w:r>
      <w:r w:rsidR="00F32DEC">
        <w:t xml:space="preserve"> that if gNB identifies a subset of UL beams experiencing </w:t>
      </w:r>
      <w:r w:rsidR="002D13BE">
        <w:t xml:space="preserve">UL interference, gNB may assign TCI dependent PC parameters </w:t>
      </w:r>
      <w:r w:rsidR="00126FF0">
        <w:t xml:space="preserve">for </w:t>
      </w:r>
      <w:r w:rsidR="005253A1">
        <w:t xml:space="preserve">each of </w:t>
      </w:r>
      <w:r w:rsidR="00126FF0">
        <w:t xml:space="preserve">them, </w:t>
      </w:r>
      <w:r w:rsidR="00271456">
        <w:t>e.g.,</w:t>
      </w:r>
      <w:r w:rsidR="00126FF0">
        <w:t xml:space="preserve"> optimiz</w:t>
      </w:r>
      <w:r w:rsidR="00665FB0">
        <w:t>ed</w:t>
      </w:r>
      <w:r w:rsidR="00126FF0">
        <w:t xml:space="preserve"> P0 per UL beam</w:t>
      </w:r>
      <w:r w:rsidR="00642EBF">
        <w:t>, while choosing TCI independent PC parameters for the remaining UL beams.</w:t>
      </w:r>
    </w:p>
    <w:p w14:paraId="187AD42D" w14:textId="79C3963B" w:rsidR="00E41E7D" w:rsidRDefault="00E41E7D" w:rsidP="00E41E7D">
      <w:pPr>
        <w:jc w:val="both"/>
        <w:rPr>
          <w:b/>
          <w:u w:val="single"/>
          <w:lang w:val="en-US" w:eastAsia="ja-JP"/>
        </w:rPr>
      </w:pPr>
      <w:r w:rsidRPr="006D0FFA">
        <w:rPr>
          <w:b/>
          <w:u w:val="single"/>
          <w:lang w:val="en-US" w:eastAsia="ja-JP"/>
        </w:rPr>
        <w:t xml:space="preserve">Proposal </w:t>
      </w:r>
      <w:r w:rsidR="006D4556" w:rsidRPr="006D0FFA">
        <w:rPr>
          <w:b/>
          <w:u w:val="single"/>
          <w:lang w:val="en-US" w:eastAsia="ja-JP"/>
        </w:rPr>
        <w:t>4</w:t>
      </w:r>
      <w:r w:rsidRPr="00BF20B3">
        <w:rPr>
          <w:b/>
          <w:lang w:val="en-US" w:eastAsia="ja-JP"/>
        </w:rPr>
        <w:t xml:space="preserve">: </w:t>
      </w:r>
      <w:r w:rsidR="00BA508B" w:rsidRPr="00BF20B3">
        <w:rPr>
          <w:b/>
          <w:lang w:val="en-US" w:eastAsia="ja-JP"/>
        </w:rPr>
        <w:t>For PC parameters</w:t>
      </w:r>
      <w:r w:rsidR="00BA508B">
        <w:rPr>
          <w:b/>
          <w:lang w:val="en-US" w:eastAsia="ja-JP"/>
        </w:rPr>
        <w:t xml:space="preserve"> except for PL RS and f</w:t>
      </w:r>
      <w:r>
        <w:rPr>
          <w:b/>
          <w:lang w:val="en-US" w:eastAsia="ja-JP"/>
        </w:rPr>
        <w:t>or each of PUSCH and PUCCH</w:t>
      </w:r>
      <w:r w:rsidRPr="00807655">
        <w:rPr>
          <w:b/>
          <w:lang w:val="en-US" w:eastAsia="ja-JP"/>
        </w:rPr>
        <w:t xml:space="preserve">, both TCI </w:t>
      </w:r>
      <w:r w:rsidR="00BA508B">
        <w:rPr>
          <w:b/>
          <w:lang w:val="en-US" w:eastAsia="ja-JP"/>
        </w:rPr>
        <w:t>dependent and independent</w:t>
      </w:r>
      <w:r w:rsidRPr="00807655">
        <w:rPr>
          <w:b/>
          <w:lang w:val="en-US" w:eastAsia="ja-JP"/>
        </w:rPr>
        <w:t xml:space="preserve"> PC parameters can be configured</w:t>
      </w:r>
      <w:r w:rsidR="00BA508B">
        <w:rPr>
          <w:b/>
          <w:lang w:val="en-US" w:eastAsia="ja-JP"/>
        </w:rPr>
        <w:t xml:space="preserve"> simultaneously</w:t>
      </w:r>
      <w:r>
        <w:rPr>
          <w:b/>
          <w:lang w:val="en-US" w:eastAsia="ja-JP"/>
        </w:rPr>
        <w:t>.</w:t>
      </w:r>
    </w:p>
    <w:p w14:paraId="3B2A8350" w14:textId="25BEBF82" w:rsidR="00E41E7D" w:rsidRDefault="00E41E7D" w:rsidP="00E41E7D">
      <w:pPr>
        <w:numPr>
          <w:ilvl w:val="0"/>
          <w:numId w:val="4"/>
        </w:numPr>
        <w:spacing w:after="0"/>
        <w:jc w:val="both"/>
        <w:rPr>
          <w:rFonts w:eastAsia="PMingLiU"/>
          <w:b/>
          <w:lang w:val="en-US" w:eastAsia="ja-JP"/>
        </w:rPr>
      </w:pPr>
      <w:r>
        <w:rPr>
          <w:rFonts w:eastAsia="PMingLiU"/>
          <w:b/>
          <w:lang w:val="en-US" w:eastAsia="ja-JP"/>
        </w:rPr>
        <w:t xml:space="preserve">If </w:t>
      </w:r>
      <w:r w:rsidR="00BA508B">
        <w:rPr>
          <w:rFonts w:eastAsia="PMingLiU"/>
          <w:b/>
          <w:lang w:val="en-US" w:eastAsia="ja-JP"/>
        </w:rPr>
        <w:t xml:space="preserve">an UL or joint </w:t>
      </w:r>
      <w:r w:rsidRPr="00807655">
        <w:rPr>
          <w:rFonts w:eastAsia="PMingLiU"/>
          <w:b/>
          <w:lang w:val="en-US" w:eastAsia="ja-JP"/>
        </w:rPr>
        <w:t xml:space="preserve">TCI </w:t>
      </w:r>
      <w:r w:rsidR="00BA508B">
        <w:rPr>
          <w:rFonts w:eastAsia="PMingLiU"/>
          <w:b/>
          <w:lang w:val="en-US" w:eastAsia="ja-JP"/>
        </w:rPr>
        <w:t>state has no</w:t>
      </w:r>
      <w:r>
        <w:rPr>
          <w:rFonts w:eastAsia="PMingLiU"/>
          <w:b/>
          <w:lang w:val="en-US" w:eastAsia="ja-JP"/>
        </w:rPr>
        <w:t xml:space="preserve"> </w:t>
      </w:r>
      <w:r w:rsidR="00224515">
        <w:rPr>
          <w:rFonts w:eastAsia="PMingLiU"/>
          <w:b/>
          <w:lang w:val="en-US" w:eastAsia="ja-JP"/>
        </w:rPr>
        <w:t xml:space="preserve">associated </w:t>
      </w:r>
      <w:r w:rsidRPr="00807655">
        <w:rPr>
          <w:rFonts w:eastAsia="PMingLiU"/>
          <w:b/>
          <w:lang w:val="en-US" w:eastAsia="ja-JP"/>
        </w:rPr>
        <w:t xml:space="preserve">TCI </w:t>
      </w:r>
      <w:r w:rsidR="00BA508B">
        <w:rPr>
          <w:rFonts w:eastAsia="PMingLiU"/>
          <w:b/>
          <w:lang w:val="en-US" w:eastAsia="ja-JP"/>
        </w:rPr>
        <w:t>dependent</w:t>
      </w:r>
      <w:r w:rsidRPr="00807655">
        <w:rPr>
          <w:rFonts w:eastAsia="PMingLiU"/>
          <w:b/>
          <w:lang w:val="en-US" w:eastAsia="ja-JP"/>
        </w:rPr>
        <w:t xml:space="preserve"> PC parameters, it will use </w:t>
      </w:r>
      <w:r w:rsidR="00BA508B">
        <w:rPr>
          <w:rFonts w:eastAsia="PMingLiU"/>
          <w:b/>
          <w:lang w:val="en-US" w:eastAsia="ja-JP"/>
        </w:rPr>
        <w:t xml:space="preserve">the </w:t>
      </w:r>
      <w:r w:rsidRPr="00807655">
        <w:rPr>
          <w:rFonts w:eastAsia="PMingLiU"/>
          <w:b/>
          <w:lang w:val="en-US" w:eastAsia="ja-JP"/>
        </w:rPr>
        <w:t>TCI</w:t>
      </w:r>
      <w:r>
        <w:rPr>
          <w:rFonts w:eastAsia="PMingLiU"/>
          <w:b/>
          <w:lang w:val="en-US" w:eastAsia="ja-JP"/>
        </w:rPr>
        <w:t xml:space="preserve"> independent</w:t>
      </w:r>
      <w:r w:rsidRPr="00807655">
        <w:rPr>
          <w:rFonts w:eastAsia="PMingLiU"/>
          <w:b/>
          <w:lang w:val="en-US" w:eastAsia="ja-JP"/>
        </w:rPr>
        <w:t xml:space="preserve"> PC parameters. </w:t>
      </w:r>
    </w:p>
    <w:p w14:paraId="46C1DC98" w14:textId="019EADAA" w:rsidR="005D5373" w:rsidRDefault="005D5373" w:rsidP="005D5373">
      <w:pPr>
        <w:spacing w:after="0"/>
        <w:jc w:val="both"/>
        <w:rPr>
          <w:rFonts w:eastAsia="PMingLiU"/>
          <w:b/>
          <w:lang w:val="en-US" w:eastAsia="ja-JP"/>
        </w:rPr>
      </w:pPr>
    </w:p>
    <w:p w14:paraId="61587F6D" w14:textId="2A6091D4" w:rsidR="0031607E" w:rsidRPr="006C1A0F" w:rsidRDefault="00E45580" w:rsidP="00EC63EC">
      <w:pPr>
        <w:jc w:val="both"/>
      </w:pPr>
      <w:r>
        <w:t xml:space="preserve">In </w:t>
      </w:r>
      <w:r w:rsidR="00F85389">
        <w:t>R15/16</w:t>
      </w:r>
      <w:r w:rsidR="00165053">
        <w:t xml:space="preserve">, UE will reset the PUSCH PC adjustment state whenever P0 or alpha is </w:t>
      </w:r>
      <w:r w:rsidR="007D2832">
        <w:t>re</w:t>
      </w:r>
      <w:r w:rsidR="00165053">
        <w:t xml:space="preserve">configured. </w:t>
      </w:r>
      <w:r w:rsidR="00D47690">
        <w:t>In RAN1 #105e, it is</w:t>
      </w:r>
      <w:r w:rsidR="007D2832">
        <w:t xml:space="preserve"> </w:t>
      </w:r>
      <w:r w:rsidR="00D47690">
        <w:t>agreed that P</w:t>
      </w:r>
      <w:r w:rsidR="007D2832">
        <w:t>C parameters</w:t>
      </w:r>
      <w:r w:rsidR="00D47690">
        <w:t xml:space="preserve"> can be associated with an UL or joint TCI state. </w:t>
      </w:r>
      <w:r w:rsidR="00FA7F21">
        <w:t>A similar issue could be whether UE should reset the PC state if the associated PC parameters are updated for an UL or joint TCI state used for UL transmission.</w:t>
      </w:r>
      <w:r w:rsidR="00F85389">
        <w:t xml:space="preserve"> </w:t>
      </w:r>
      <w:r w:rsidR="007D2832">
        <w:t>I</w:t>
      </w:r>
      <w:r w:rsidR="00EC63EC">
        <w:t xml:space="preserve">t would be beneficial to clarify </w:t>
      </w:r>
      <w:r w:rsidR="00F85389">
        <w:t>the corresponding UE behaviour</w:t>
      </w:r>
      <w:r w:rsidR="00EC63EC">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1607E" w:rsidRPr="006C1A0F" w14:paraId="56D69D15" w14:textId="77777777" w:rsidTr="00E52ECA">
        <w:trPr>
          <w:trHeight w:val="440"/>
        </w:trPr>
        <w:tc>
          <w:tcPr>
            <w:tcW w:w="9467" w:type="dxa"/>
          </w:tcPr>
          <w:p w14:paraId="0361E878" w14:textId="54B8306E" w:rsidR="0031607E" w:rsidRPr="00165053" w:rsidRDefault="0031607E" w:rsidP="00165053">
            <w:pPr>
              <w:spacing w:after="0"/>
              <w:rPr>
                <w:rFonts w:ascii="Times" w:eastAsia="Batang" w:hAnsi="Times" w:cs="Times"/>
                <w:sz w:val="18"/>
                <w:szCs w:val="22"/>
              </w:rPr>
            </w:pPr>
            <w:r w:rsidRPr="0031607E">
              <w:rPr>
                <w:rFonts w:ascii="Times" w:eastAsia="Batang" w:hAnsi="Times" w:cs="Times"/>
                <w:sz w:val="18"/>
                <w:szCs w:val="22"/>
              </w:rPr>
              <w:t>38.213:</w:t>
            </w:r>
          </w:p>
          <w:p w14:paraId="190B054A" w14:textId="3F30BFA2" w:rsidR="0031607E" w:rsidRPr="0031607E" w:rsidRDefault="00165053" w:rsidP="0031607E">
            <w:pPr>
              <w:spacing w:after="0"/>
              <w:jc w:val="both"/>
              <w:rPr>
                <w:rFonts w:ascii="Times" w:eastAsia="Batang" w:hAnsi="Times" w:cs="Times"/>
                <w:sz w:val="14"/>
                <w:szCs w:val="16"/>
                <w:lang w:val="en-US"/>
              </w:rPr>
            </w:pPr>
            <w:r w:rsidRPr="00165053">
              <w:rPr>
                <w:rFonts w:ascii="Times" w:eastAsia="Batang" w:hAnsi="Times" w:cs="Times"/>
                <w:noProof/>
                <w:sz w:val="14"/>
                <w:szCs w:val="16"/>
                <w:lang w:val="en-US"/>
              </w:rPr>
              <w:drawing>
                <wp:inline distT="0" distB="0" distL="0" distR="0" wp14:anchorId="664AEB8D" wp14:editId="3E260C71">
                  <wp:extent cx="5655734" cy="1092688"/>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1611" cy="1093824"/>
                          </a:xfrm>
                          <a:prstGeom prst="rect">
                            <a:avLst/>
                          </a:prstGeom>
                          <a:noFill/>
                          <a:ln>
                            <a:noFill/>
                          </a:ln>
                        </pic:spPr>
                      </pic:pic>
                    </a:graphicData>
                  </a:graphic>
                </wp:inline>
              </w:drawing>
            </w:r>
          </w:p>
        </w:tc>
      </w:tr>
    </w:tbl>
    <w:p w14:paraId="7967BA47" w14:textId="77777777" w:rsidR="00E45580" w:rsidRDefault="00E45580" w:rsidP="005D5373">
      <w:pPr>
        <w:spacing w:after="0"/>
        <w:jc w:val="both"/>
        <w:rPr>
          <w:rFonts w:eastAsia="PMingLiU"/>
          <w:b/>
          <w:lang w:val="en-US" w:eastAsia="ja-JP"/>
        </w:rPr>
      </w:pPr>
    </w:p>
    <w:p w14:paraId="141FB18E" w14:textId="22E84829" w:rsidR="005D5373" w:rsidRDefault="005D5373" w:rsidP="005D5373">
      <w:pPr>
        <w:jc w:val="both"/>
        <w:rPr>
          <w:b/>
          <w:lang w:val="en-US" w:eastAsia="ja-JP"/>
        </w:rPr>
      </w:pPr>
      <w:r w:rsidRPr="006D0FFA">
        <w:rPr>
          <w:b/>
          <w:u w:val="single"/>
          <w:lang w:val="en-US" w:eastAsia="ja-JP"/>
        </w:rPr>
        <w:t xml:space="preserve">Proposal </w:t>
      </w:r>
      <w:r w:rsidR="006D4556" w:rsidRPr="006D0FFA">
        <w:rPr>
          <w:b/>
          <w:u w:val="single"/>
          <w:lang w:val="en-US" w:eastAsia="ja-JP"/>
        </w:rPr>
        <w:t>5</w:t>
      </w:r>
      <w:r w:rsidRPr="00BF20B3">
        <w:rPr>
          <w:b/>
          <w:lang w:val="en-US" w:eastAsia="ja-JP"/>
        </w:rPr>
        <w:t xml:space="preserve">: </w:t>
      </w:r>
      <w:r w:rsidR="007D2832" w:rsidRPr="00BF20B3">
        <w:rPr>
          <w:b/>
          <w:lang w:val="en-US" w:eastAsia="ja-JP"/>
        </w:rPr>
        <w:t>Clarify</w:t>
      </w:r>
      <w:r w:rsidR="007D2832">
        <w:rPr>
          <w:b/>
          <w:lang w:val="en-US" w:eastAsia="ja-JP"/>
        </w:rPr>
        <w:t xml:space="preserve"> whether the corresponding PC adjustment state should be reset w</w:t>
      </w:r>
      <w:r>
        <w:rPr>
          <w:b/>
          <w:lang w:val="en-US" w:eastAsia="ja-JP"/>
        </w:rPr>
        <w:t xml:space="preserve">hen </w:t>
      </w:r>
      <w:r w:rsidR="004B053E">
        <w:rPr>
          <w:b/>
          <w:lang w:val="en-US" w:eastAsia="ja-JP"/>
        </w:rPr>
        <w:t xml:space="preserve">the associated </w:t>
      </w:r>
      <w:r>
        <w:rPr>
          <w:b/>
          <w:lang w:val="en-US" w:eastAsia="ja-JP"/>
        </w:rPr>
        <w:t>PC parameter</w:t>
      </w:r>
      <w:r w:rsidR="007D2832">
        <w:rPr>
          <w:b/>
          <w:lang w:val="en-US" w:eastAsia="ja-JP"/>
        </w:rPr>
        <w:t>s</w:t>
      </w:r>
      <w:r>
        <w:rPr>
          <w:b/>
          <w:lang w:val="en-US" w:eastAsia="ja-JP"/>
        </w:rPr>
        <w:t xml:space="preserve"> </w:t>
      </w:r>
      <w:r w:rsidR="007D2832">
        <w:rPr>
          <w:b/>
          <w:lang w:val="en-US" w:eastAsia="ja-JP"/>
        </w:rPr>
        <w:t>are</w:t>
      </w:r>
      <w:r>
        <w:rPr>
          <w:b/>
          <w:lang w:val="en-US" w:eastAsia="ja-JP"/>
        </w:rPr>
        <w:t xml:space="preserve"> updated </w:t>
      </w:r>
      <w:r w:rsidR="004B053E">
        <w:rPr>
          <w:b/>
          <w:lang w:val="en-US" w:eastAsia="ja-JP"/>
        </w:rPr>
        <w:t>for an</w:t>
      </w:r>
      <w:r>
        <w:rPr>
          <w:b/>
          <w:lang w:val="en-US" w:eastAsia="ja-JP"/>
        </w:rPr>
        <w:t xml:space="preserve"> UL or joint TCI state</w:t>
      </w:r>
      <w:r w:rsidR="00FA7F21">
        <w:rPr>
          <w:b/>
          <w:lang w:val="en-US" w:eastAsia="ja-JP"/>
        </w:rPr>
        <w:t xml:space="preserve"> used for UL transmission</w:t>
      </w:r>
      <w:r w:rsidR="007D2832">
        <w:rPr>
          <w:b/>
          <w:lang w:val="en-US" w:eastAsia="ja-JP"/>
        </w:rPr>
        <w:t>.</w:t>
      </w:r>
    </w:p>
    <w:p w14:paraId="7AAB7CEC" w14:textId="40393837" w:rsidR="00670983" w:rsidRPr="005A1D21" w:rsidRDefault="00B321D2" w:rsidP="005A1D21">
      <w:pPr>
        <w:jc w:val="both"/>
      </w:pPr>
      <w:r>
        <w:t>To accommodate different UE complexities</w:t>
      </w:r>
      <w:r w:rsidR="005A1D21">
        <w:t xml:space="preserve"> on memory consumption</w:t>
      </w:r>
      <w:r>
        <w:t>, UE should be able to report capability on whether supporting</w:t>
      </w:r>
      <w:r w:rsidR="005A1D21">
        <w:t xml:space="preserve"> </w:t>
      </w:r>
      <w:r>
        <w:t>simultaneous configur</w:t>
      </w:r>
      <w:r w:rsidR="005A1D21">
        <w:t>ation of</w:t>
      </w:r>
      <w:r>
        <w:t xml:space="preserve"> both unified TCI states </w:t>
      </w:r>
      <w:r w:rsidR="005A1D21">
        <w:t xml:space="preserve">and </w:t>
      </w:r>
      <w:r>
        <w:t xml:space="preserve">R15/16 legacy beam indications. </w:t>
      </w:r>
    </w:p>
    <w:p w14:paraId="34174ADD" w14:textId="52C63C70" w:rsidR="00E41E7D" w:rsidRDefault="00E41E7D" w:rsidP="00E41E7D">
      <w:pPr>
        <w:jc w:val="both"/>
        <w:rPr>
          <w:b/>
          <w:lang w:eastAsia="ja-JP"/>
        </w:rPr>
      </w:pPr>
      <w:bookmarkStart w:id="5" w:name="_Hlk78644680"/>
      <w:bookmarkStart w:id="6" w:name="_Hlk78556025"/>
      <w:r w:rsidRPr="006D0FFA">
        <w:rPr>
          <w:b/>
          <w:u w:val="single"/>
          <w:lang w:eastAsia="ja-JP"/>
        </w:rPr>
        <w:t xml:space="preserve">Proposal </w:t>
      </w:r>
      <w:r w:rsidR="006D4556" w:rsidRPr="006D0FFA">
        <w:rPr>
          <w:b/>
          <w:u w:val="single"/>
          <w:lang w:eastAsia="ja-JP"/>
        </w:rPr>
        <w:t>6</w:t>
      </w:r>
      <w:r w:rsidRPr="00BF20B3">
        <w:rPr>
          <w:b/>
          <w:lang w:eastAsia="ja-JP"/>
        </w:rPr>
        <w:t xml:space="preserve">: </w:t>
      </w:r>
      <w:r w:rsidR="00601C41" w:rsidRPr="004F6148">
        <w:rPr>
          <w:b/>
          <w:lang w:eastAsia="ja-JP"/>
        </w:rPr>
        <w:t>Introduce</w:t>
      </w:r>
      <w:r w:rsidR="00601C41">
        <w:rPr>
          <w:b/>
          <w:lang w:eastAsia="ja-JP"/>
        </w:rPr>
        <w:t xml:space="preserve"> UE capability </w:t>
      </w:r>
      <w:r w:rsidR="005A1D21">
        <w:rPr>
          <w:b/>
          <w:lang w:eastAsia="ja-JP"/>
        </w:rPr>
        <w:t>of supporting</w:t>
      </w:r>
      <w:r w:rsidR="00601C41">
        <w:rPr>
          <w:b/>
          <w:lang w:eastAsia="ja-JP"/>
        </w:rPr>
        <w:t xml:space="preserve"> </w:t>
      </w:r>
      <w:r>
        <w:rPr>
          <w:b/>
          <w:lang w:eastAsia="ja-JP"/>
        </w:rPr>
        <w:t>configur</w:t>
      </w:r>
      <w:r w:rsidR="005A1D21">
        <w:rPr>
          <w:b/>
          <w:lang w:eastAsia="ja-JP"/>
        </w:rPr>
        <w:t>ation of either</w:t>
      </w:r>
      <w:r>
        <w:rPr>
          <w:b/>
          <w:lang w:eastAsia="ja-JP"/>
        </w:rPr>
        <w:t xml:space="preserve"> unified TCI states </w:t>
      </w:r>
      <w:r w:rsidR="005A1D21">
        <w:rPr>
          <w:b/>
          <w:lang w:eastAsia="ja-JP"/>
        </w:rPr>
        <w:t>or</w:t>
      </w:r>
      <w:r>
        <w:rPr>
          <w:b/>
          <w:lang w:eastAsia="ja-JP"/>
        </w:rPr>
        <w:t xml:space="preserve"> R15/16 TCI states and spatial relations</w:t>
      </w:r>
      <w:r w:rsidR="005A1D21">
        <w:rPr>
          <w:b/>
          <w:lang w:eastAsia="ja-JP"/>
        </w:rPr>
        <w:t xml:space="preserve"> at a given time</w:t>
      </w:r>
      <w:r>
        <w:rPr>
          <w:b/>
          <w:lang w:eastAsia="ja-JP"/>
        </w:rPr>
        <w:t>.</w:t>
      </w:r>
    </w:p>
    <w:bookmarkEnd w:id="5"/>
    <w:p w14:paraId="119DBBA7" w14:textId="4427134A" w:rsidR="005A1D21" w:rsidRPr="00A01F0C" w:rsidRDefault="0097515F" w:rsidP="00E41E7D">
      <w:pPr>
        <w:jc w:val="both"/>
      </w:pPr>
      <w:r>
        <w:t>In RAN1 #105e, it has been agreed that DL RS can be configured with a R17 DL TCI state, and corresponding TCI update signalling will be decided in next meeting. To minimize spec impact, R15/16 TCI configuration/(de)activation signalling can be reused for this case with TCI state ID in RRC/MAC-CE reinterpreted as R17 DL TCI state ID.</w:t>
      </w:r>
    </w:p>
    <w:p w14:paraId="7C9FC537" w14:textId="5874B458" w:rsidR="00E41E7D" w:rsidRDefault="00E41E7D" w:rsidP="00E41E7D">
      <w:pPr>
        <w:jc w:val="both"/>
        <w:rPr>
          <w:b/>
          <w:lang w:eastAsia="ja-JP"/>
        </w:rPr>
      </w:pPr>
      <w:bookmarkStart w:id="7" w:name="_Hlk78644731"/>
      <w:bookmarkEnd w:id="6"/>
      <w:r w:rsidRPr="006D0FFA">
        <w:rPr>
          <w:b/>
          <w:u w:val="single"/>
          <w:lang w:eastAsia="ja-JP"/>
        </w:rPr>
        <w:lastRenderedPageBreak/>
        <w:t xml:space="preserve">Proposal </w:t>
      </w:r>
      <w:r w:rsidR="00B52935" w:rsidRPr="006D0FFA">
        <w:rPr>
          <w:b/>
          <w:u w:val="single"/>
          <w:lang w:eastAsia="ja-JP"/>
        </w:rPr>
        <w:t>7</w:t>
      </w:r>
      <w:r w:rsidRPr="004F6148">
        <w:rPr>
          <w:b/>
          <w:lang w:eastAsia="ja-JP"/>
        </w:rPr>
        <w:t>: For any</w:t>
      </w:r>
      <w:r w:rsidRPr="00015973">
        <w:rPr>
          <w:b/>
          <w:lang w:eastAsia="ja-JP"/>
        </w:rPr>
        <w:t xml:space="preserve"> DL RS that can be configured </w:t>
      </w:r>
      <w:r w:rsidR="0097515F">
        <w:rPr>
          <w:b/>
          <w:lang w:eastAsia="ja-JP"/>
        </w:rPr>
        <w:t>with</w:t>
      </w:r>
      <w:r w:rsidRPr="00015973">
        <w:rPr>
          <w:b/>
          <w:lang w:eastAsia="ja-JP"/>
        </w:rPr>
        <w:t xml:space="preserve"> a R</w:t>
      </w:r>
      <w:r w:rsidR="0097515F">
        <w:rPr>
          <w:b/>
          <w:lang w:eastAsia="ja-JP"/>
        </w:rPr>
        <w:t>17</w:t>
      </w:r>
      <w:r w:rsidRPr="00015973">
        <w:rPr>
          <w:b/>
          <w:lang w:eastAsia="ja-JP"/>
        </w:rPr>
        <w:t xml:space="preserve"> DL TCI</w:t>
      </w:r>
      <w:r w:rsidR="0097515F">
        <w:rPr>
          <w:b/>
          <w:lang w:eastAsia="ja-JP"/>
        </w:rPr>
        <w:t xml:space="preserve"> state</w:t>
      </w:r>
      <w:r w:rsidRPr="00015973">
        <w:rPr>
          <w:b/>
          <w:lang w:eastAsia="ja-JP"/>
        </w:rPr>
        <w:t>, support reuse R15/16 TCI state configuration/(de)activation signalling.</w:t>
      </w:r>
    </w:p>
    <w:bookmarkEnd w:id="7"/>
    <w:p w14:paraId="7C508543" w14:textId="014676E6" w:rsidR="005A1D21" w:rsidRPr="003B70AF" w:rsidRDefault="004771C3" w:rsidP="00E41E7D">
      <w:pPr>
        <w:jc w:val="both"/>
      </w:pPr>
      <w:r>
        <w:t xml:space="preserve">In RAN1 #105e, WA has been made </w:t>
      </w:r>
      <w:r w:rsidR="003B70AF">
        <w:t xml:space="preserve">such </w:t>
      </w:r>
      <w:r>
        <w:t xml:space="preserve">that multiple CCs can share a common TCI state pool. To better reflect UE complexity </w:t>
      </w:r>
      <w:r w:rsidR="003B70AF">
        <w:t>on common beam per band</w:t>
      </w:r>
      <w:r>
        <w:t xml:space="preserve">, it would be beneficial for UE to report maximum </w:t>
      </w:r>
      <w:r w:rsidR="003B70AF">
        <w:t xml:space="preserve">supported </w:t>
      </w:r>
      <w:r>
        <w:t>number of configured and activated TCI states across CCs in a band</w:t>
      </w:r>
      <w:r w:rsidR="003B70AF">
        <w:t xml:space="preserve">, instead of reporting per-CC capability as in R15/16. </w:t>
      </w:r>
    </w:p>
    <w:p w14:paraId="185DD362" w14:textId="363E1724" w:rsidR="00E41E7D" w:rsidRDefault="00E41E7D" w:rsidP="00E41E7D">
      <w:pPr>
        <w:jc w:val="both"/>
        <w:rPr>
          <w:b/>
          <w:lang w:eastAsia="ja-JP"/>
        </w:rPr>
      </w:pPr>
      <w:r w:rsidRPr="006D0FFA">
        <w:rPr>
          <w:b/>
          <w:u w:val="single"/>
          <w:lang w:eastAsia="ja-JP"/>
        </w:rPr>
        <w:t xml:space="preserve">Proposal </w:t>
      </w:r>
      <w:r w:rsidR="00B52935" w:rsidRPr="006D0FFA">
        <w:rPr>
          <w:b/>
          <w:u w:val="single"/>
          <w:lang w:eastAsia="ja-JP"/>
        </w:rPr>
        <w:t>8</w:t>
      </w:r>
      <w:r w:rsidRPr="004F6148">
        <w:rPr>
          <w:b/>
          <w:lang w:eastAsia="ja-JP"/>
        </w:rPr>
        <w:t>: Support</w:t>
      </w:r>
      <w:r w:rsidRPr="00B810B0">
        <w:rPr>
          <w:b/>
          <w:lang w:eastAsia="ja-JP"/>
        </w:rPr>
        <w:t xml:space="preserve"> UE capability to report maximum number of configured and activated TCI states across BWPs/CCs in a band.</w:t>
      </w:r>
    </w:p>
    <w:p w14:paraId="596EB57D" w14:textId="1A5201D3" w:rsidR="003B70AF" w:rsidRPr="008F4BE0" w:rsidRDefault="00206913" w:rsidP="00E41E7D">
      <w:pPr>
        <w:jc w:val="both"/>
      </w:pPr>
      <w:r>
        <w:t xml:space="preserve">As for the common TCI state pool shared by multiple CCs, </w:t>
      </w:r>
      <w:r w:rsidR="008F4BE0">
        <w:t>the signalling of the reference BWP/CC configured with the common TCI state pool needs to be clarified</w:t>
      </w:r>
      <w:r w:rsidR="003B70AF">
        <w:t xml:space="preserve">. </w:t>
      </w:r>
      <w:r w:rsidR="008F4BE0">
        <w:t xml:space="preserve">To minimize new signalling, the RRC configured CC list introduced in R16 can be reused with simple clarification that a single BWP/CC configured with the TCI state pool serves as the reference BWP/CC of that CC list. </w:t>
      </w:r>
    </w:p>
    <w:p w14:paraId="62830894" w14:textId="2C62FE77" w:rsidR="00E41E7D" w:rsidRDefault="00E41E7D" w:rsidP="00E41E7D">
      <w:pPr>
        <w:jc w:val="both"/>
        <w:rPr>
          <w:b/>
          <w:lang w:eastAsia="ja-JP"/>
        </w:rPr>
      </w:pPr>
      <w:r w:rsidRPr="006D0FFA">
        <w:rPr>
          <w:b/>
          <w:u w:val="single"/>
          <w:lang w:eastAsia="ja-JP"/>
        </w:rPr>
        <w:t xml:space="preserve">Proposal </w:t>
      </w:r>
      <w:r w:rsidR="00B52935" w:rsidRPr="006D0FFA">
        <w:rPr>
          <w:b/>
          <w:u w:val="single"/>
          <w:lang w:eastAsia="ja-JP"/>
        </w:rPr>
        <w:t>9</w:t>
      </w:r>
      <w:r w:rsidRPr="004F6148">
        <w:rPr>
          <w:b/>
          <w:lang w:eastAsia="ja-JP"/>
        </w:rPr>
        <w:t>: A single</w:t>
      </w:r>
      <w:r w:rsidRPr="00B810B0">
        <w:rPr>
          <w:b/>
          <w:lang w:eastAsia="ja-JP"/>
        </w:rPr>
        <w:t xml:space="preserve"> BWP/CC configured with a common TCI state pool shared by a list of CCs serves as the reference BWP/CC of the CC list. </w:t>
      </w:r>
    </w:p>
    <w:p w14:paraId="0485CB17" w14:textId="1BB40071" w:rsidR="00AD15AC" w:rsidRPr="00BE7784" w:rsidRDefault="00E13A1B" w:rsidP="00E41E7D">
      <w:pPr>
        <w:jc w:val="both"/>
      </w:pPr>
      <w:r>
        <w:t>Another remaining issue for the common TCI state pool is the determination of PC parameters used by the selected common TCI state ID on individual target CC. For the PC parameters except for the PL RS, they can reuse those associated with the selected common TCI state ID on the reference</w:t>
      </w:r>
      <w:r w:rsidR="000C4567">
        <w:t xml:space="preserve"> </w:t>
      </w:r>
      <w:r>
        <w:t xml:space="preserve">CC. For the PL RS, </w:t>
      </w:r>
      <w:r w:rsidR="002A3F30">
        <w:t>it can be</w:t>
      </w:r>
      <w:r>
        <w:t xml:space="preserve"> the same PL RS</w:t>
      </w:r>
      <w:r w:rsidR="00243BA8">
        <w:t xml:space="preserve"> </w:t>
      </w:r>
      <w:r w:rsidR="00E2194B">
        <w:t xml:space="preserve">for the common TCI state ID </w:t>
      </w:r>
      <w:r w:rsidR="002A3F30">
        <w:t>on</w:t>
      </w:r>
      <w:r>
        <w:t xml:space="preserve"> the reference</w:t>
      </w:r>
      <w:r w:rsidR="000C4567">
        <w:t xml:space="preserve"> </w:t>
      </w:r>
      <w:r>
        <w:t xml:space="preserve">CC or the PL RS configured on the target CC with the same RS ID as the PL RS </w:t>
      </w:r>
      <w:r w:rsidR="002A3F30">
        <w:t>on th</w:t>
      </w:r>
      <w:r>
        <w:t xml:space="preserve">e reference CC. </w:t>
      </w:r>
      <w:r w:rsidR="00462F97">
        <w:t>Similar to R15, w</w:t>
      </w:r>
      <w:r>
        <w:t xml:space="preserve">hich option </w:t>
      </w:r>
      <w:r w:rsidR="00243BA8">
        <w:t>to be</w:t>
      </w:r>
      <w:r>
        <w:t xml:space="preserve"> used can be configured by gNB.</w:t>
      </w:r>
      <w:r w:rsidR="00BE7784">
        <w:t xml:space="preserve"> </w:t>
      </w:r>
    </w:p>
    <w:p w14:paraId="57ECF586" w14:textId="0640AF99" w:rsidR="00E41E7D" w:rsidRDefault="00E41E7D" w:rsidP="00E41E7D">
      <w:pPr>
        <w:jc w:val="both"/>
        <w:rPr>
          <w:b/>
          <w:lang w:val="en-US" w:eastAsia="ja-JP"/>
        </w:rPr>
      </w:pPr>
      <w:r w:rsidRPr="006D0FFA">
        <w:rPr>
          <w:b/>
          <w:u w:val="single"/>
          <w:lang w:val="en-US" w:eastAsia="ja-JP"/>
        </w:rPr>
        <w:t xml:space="preserve">Proposal </w:t>
      </w:r>
      <w:r w:rsidR="00B52935" w:rsidRPr="006D0FFA">
        <w:rPr>
          <w:b/>
          <w:u w:val="single"/>
          <w:lang w:val="en-US" w:eastAsia="ja-JP"/>
        </w:rPr>
        <w:t>10</w:t>
      </w:r>
      <w:r w:rsidRPr="004F6148">
        <w:rPr>
          <w:b/>
          <w:lang w:val="en-US" w:eastAsia="ja-JP"/>
        </w:rPr>
        <w:t xml:space="preserve">: </w:t>
      </w:r>
      <w:r w:rsidRPr="00884436">
        <w:rPr>
          <w:b/>
          <w:lang w:val="en-US" w:eastAsia="ja-JP"/>
        </w:rPr>
        <w:t>For a common</w:t>
      </w:r>
      <w:r>
        <w:rPr>
          <w:b/>
          <w:lang w:val="en-US" w:eastAsia="ja-JP"/>
        </w:rPr>
        <w:t xml:space="preserve"> TCI state pool shared by multiple CCs, the PC parameters for a selected common TCI state ID on each target BWP/CC can be determined as below</w:t>
      </w:r>
    </w:p>
    <w:p w14:paraId="3893F4C4" w14:textId="77777777" w:rsidR="00E41E7D" w:rsidRPr="006F5F84" w:rsidRDefault="00E41E7D" w:rsidP="00E41E7D">
      <w:pPr>
        <w:numPr>
          <w:ilvl w:val="0"/>
          <w:numId w:val="4"/>
        </w:numPr>
        <w:spacing w:after="0"/>
        <w:jc w:val="both"/>
        <w:rPr>
          <w:rFonts w:eastAsia="PMingLiU"/>
          <w:b/>
          <w:lang w:val="en-US" w:eastAsia="ja-JP"/>
        </w:rPr>
      </w:pPr>
      <w:r w:rsidRPr="006F5F84">
        <w:rPr>
          <w:rFonts w:eastAsia="PMingLiU"/>
          <w:b/>
          <w:lang w:val="en-US" w:eastAsia="ja-JP"/>
        </w:rPr>
        <w:t xml:space="preserve">For the PC parameters except for the PL RS, they </w:t>
      </w:r>
      <w:r>
        <w:rPr>
          <w:rFonts w:eastAsia="PMingLiU"/>
          <w:b/>
          <w:lang w:val="en-US" w:eastAsia="ja-JP"/>
        </w:rPr>
        <w:t xml:space="preserve">can </w:t>
      </w:r>
      <w:r w:rsidRPr="006F5F84">
        <w:rPr>
          <w:rFonts w:eastAsia="PMingLiU"/>
          <w:b/>
          <w:lang w:val="en-US" w:eastAsia="ja-JP"/>
        </w:rPr>
        <w:t>reuse those</w:t>
      </w:r>
      <w:r>
        <w:rPr>
          <w:rFonts w:eastAsia="PMingLiU"/>
          <w:b/>
          <w:lang w:val="en-US" w:eastAsia="ja-JP"/>
        </w:rPr>
        <w:t xml:space="preserve"> </w:t>
      </w:r>
      <w:bookmarkStart w:id="8" w:name="_Hlk78563069"/>
      <w:r>
        <w:rPr>
          <w:rFonts w:eastAsia="PMingLiU"/>
          <w:b/>
          <w:lang w:val="en-US" w:eastAsia="ja-JP"/>
        </w:rPr>
        <w:t>for the selected common TCI state ID on</w:t>
      </w:r>
      <w:r w:rsidRPr="006F5F84">
        <w:rPr>
          <w:rFonts w:eastAsia="PMingLiU"/>
          <w:b/>
          <w:lang w:val="en-US" w:eastAsia="ja-JP"/>
        </w:rPr>
        <w:t xml:space="preserve"> the reference BWP/CC</w:t>
      </w:r>
      <w:bookmarkEnd w:id="8"/>
      <w:r w:rsidRPr="006F5F84">
        <w:rPr>
          <w:rFonts w:eastAsia="PMingLiU"/>
          <w:b/>
          <w:lang w:val="en-US" w:eastAsia="ja-JP"/>
        </w:rPr>
        <w:t>.</w:t>
      </w:r>
    </w:p>
    <w:p w14:paraId="409BAB07" w14:textId="734CA300" w:rsidR="003D4C6C" w:rsidRDefault="003D4C6C" w:rsidP="00E41E7D">
      <w:pPr>
        <w:numPr>
          <w:ilvl w:val="0"/>
          <w:numId w:val="4"/>
        </w:numPr>
        <w:spacing w:after="0"/>
        <w:jc w:val="both"/>
        <w:rPr>
          <w:rFonts w:eastAsia="PMingLiU"/>
          <w:b/>
          <w:lang w:val="en-US" w:eastAsia="ja-JP"/>
        </w:rPr>
      </w:pPr>
      <w:r>
        <w:rPr>
          <w:rFonts w:eastAsia="PMingLiU"/>
          <w:b/>
          <w:lang w:val="en-US" w:eastAsia="ja-JP"/>
        </w:rPr>
        <w:t xml:space="preserve">The </w:t>
      </w:r>
      <w:r w:rsidR="000B4A59">
        <w:rPr>
          <w:rFonts w:eastAsia="PMingLiU"/>
          <w:b/>
          <w:lang w:val="en-US" w:eastAsia="ja-JP"/>
        </w:rPr>
        <w:t xml:space="preserve">used </w:t>
      </w:r>
      <w:r>
        <w:rPr>
          <w:rFonts w:eastAsia="PMingLiU"/>
          <w:b/>
          <w:lang w:val="en-US" w:eastAsia="ja-JP"/>
        </w:rPr>
        <w:t xml:space="preserve">PL RS can have the following two </w:t>
      </w:r>
      <w:r w:rsidR="000B4A59">
        <w:rPr>
          <w:rFonts w:eastAsia="PMingLiU"/>
          <w:b/>
          <w:lang w:val="en-US" w:eastAsia="ja-JP"/>
        </w:rPr>
        <w:t>alternatives</w:t>
      </w:r>
      <w:r w:rsidR="00807FF6">
        <w:rPr>
          <w:rFonts w:eastAsia="PMingLiU"/>
          <w:b/>
          <w:lang w:val="en-US" w:eastAsia="ja-JP"/>
        </w:rPr>
        <w:t>,</w:t>
      </w:r>
      <w:r>
        <w:rPr>
          <w:rFonts w:eastAsia="PMingLiU"/>
          <w:b/>
          <w:lang w:val="en-US" w:eastAsia="ja-JP"/>
        </w:rPr>
        <w:t xml:space="preserve"> </w:t>
      </w:r>
      <w:r w:rsidR="000B4A59">
        <w:rPr>
          <w:rFonts w:eastAsia="PMingLiU"/>
          <w:b/>
          <w:lang w:val="en-US" w:eastAsia="ja-JP"/>
        </w:rPr>
        <w:t xml:space="preserve">which can be </w:t>
      </w:r>
      <w:r>
        <w:rPr>
          <w:rFonts w:eastAsia="PMingLiU"/>
          <w:b/>
          <w:lang w:val="en-US" w:eastAsia="ja-JP"/>
        </w:rPr>
        <w:t>selected by gNB</w:t>
      </w:r>
    </w:p>
    <w:p w14:paraId="5358F2A3" w14:textId="7F911A9F" w:rsidR="003D4C6C" w:rsidRDefault="003D4C6C" w:rsidP="003D4C6C">
      <w:pPr>
        <w:numPr>
          <w:ilvl w:val="1"/>
          <w:numId w:val="4"/>
        </w:numPr>
        <w:spacing w:after="0"/>
        <w:jc w:val="both"/>
        <w:rPr>
          <w:rFonts w:eastAsia="PMingLiU"/>
          <w:b/>
          <w:lang w:val="en-US" w:eastAsia="ja-JP"/>
        </w:rPr>
      </w:pPr>
      <w:r>
        <w:rPr>
          <w:rFonts w:eastAsia="PMingLiU"/>
          <w:b/>
          <w:lang w:val="en-US" w:eastAsia="ja-JP"/>
        </w:rPr>
        <w:t xml:space="preserve">Alt1: Use </w:t>
      </w:r>
      <w:r w:rsidR="009A5FBD" w:rsidRPr="009A5FBD">
        <w:rPr>
          <w:rFonts w:eastAsia="PMingLiU"/>
          <w:b/>
          <w:lang w:val="en-US" w:eastAsia="ja-JP"/>
        </w:rPr>
        <w:t xml:space="preserve">the same PL RS </w:t>
      </w:r>
      <w:r w:rsidR="009A5FBD">
        <w:rPr>
          <w:rFonts w:eastAsia="PMingLiU"/>
          <w:b/>
          <w:lang w:val="en-US" w:eastAsia="ja-JP"/>
        </w:rPr>
        <w:t>for the selected common TCI state ID on</w:t>
      </w:r>
      <w:r w:rsidR="009A5FBD" w:rsidRPr="006F5F84">
        <w:rPr>
          <w:rFonts w:eastAsia="PMingLiU"/>
          <w:b/>
          <w:lang w:val="en-US" w:eastAsia="ja-JP"/>
        </w:rPr>
        <w:t xml:space="preserve"> the reference BWP/CC</w:t>
      </w:r>
      <w:r>
        <w:rPr>
          <w:rFonts w:eastAsia="PMingLiU"/>
          <w:b/>
          <w:lang w:val="en-US" w:eastAsia="ja-JP"/>
        </w:rPr>
        <w:t>.</w:t>
      </w:r>
    </w:p>
    <w:p w14:paraId="1F21C9F0" w14:textId="121ED82E" w:rsidR="00E41E7D" w:rsidRDefault="003D4C6C" w:rsidP="003D4C6C">
      <w:pPr>
        <w:numPr>
          <w:ilvl w:val="1"/>
          <w:numId w:val="4"/>
        </w:numPr>
        <w:spacing w:after="0"/>
        <w:jc w:val="both"/>
        <w:rPr>
          <w:rFonts w:eastAsia="PMingLiU"/>
          <w:b/>
          <w:lang w:val="en-US" w:eastAsia="ja-JP"/>
        </w:rPr>
      </w:pPr>
      <w:r>
        <w:rPr>
          <w:rFonts w:eastAsia="PMingLiU"/>
          <w:b/>
          <w:lang w:val="en-US" w:eastAsia="ja-JP"/>
        </w:rPr>
        <w:t xml:space="preserve">Alt2: Use </w:t>
      </w:r>
      <w:r w:rsidR="009A5FBD" w:rsidRPr="009A5FBD">
        <w:rPr>
          <w:rFonts w:eastAsia="PMingLiU"/>
          <w:b/>
          <w:lang w:val="en-US" w:eastAsia="ja-JP"/>
        </w:rPr>
        <w:t>the PL RS configured on the target BWP/CC with the same RS ID</w:t>
      </w:r>
      <w:r>
        <w:rPr>
          <w:rFonts w:eastAsia="PMingLiU"/>
          <w:b/>
          <w:lang w:val="en-US" w:eastAsia="ja-JP"/>
        </w:rPr>
        <w:t xml:space="preserve"> as the PL RS</w:t>
      </w:r>
      <w:r w:rsidR="000B4A59" w:rsidRPr="009A5FBD">
        <w:rPr>
          <w:rFonts w:eastAsia="PMingLiU"/>
          <w:b/>
          <w:lang w:val="en-US" w:eastAsia="ja-JP"/>
        </w:rPr>
        <w:t xml:space="preserve"> </w:t>
      </w:r>
      <w:r w:rsidR="000B4A59">
        <w:rPr>
          <w:rFonts w:eastAsia="PMingLiU"/>
          <w:b/>
          <w:lang w:val="en-US" w:eastAsia="ja-JP"/>
        </w:rPr>
        <w:t>for the selected common TCI state ID on</w:t>
      </w:r>
      <w:r w:rsidR="000B4A59" w:rsidRPr="006F5F84">
        <w:rPr>
          <w:rFonts w:eastAsia="PMingLiU"/>
          <w:b/>
          <w:lang w:val="en-US" w:eastAsia="ja-JP"/>
        </w:rPr>
        <w:t xml:space="preserve"> the reference BWP/CC</w:t>
      </w:r>
      <w:r>
        <w:rPr>
          <w:rFonts w:eastAsia="PMingLiU"/>
          <w:b/>
          <w:lang w:val="en-US" w:eastAsia="ja-JP"/>
        </w:rPr>
        <w:t>.</w:t>
      </w:r>
    </w:p>
    <w:p w14:paraId="12DD58E3" w14:textId="77777777" w:rsidR="00D428A6" w:rsidRPr="00D428A6" w:rsidRDefault="00D428A6" w:rsidP="00D428A6">
      <w:pPr>
        <w:spacing w:after="0"/>
        <w:ind w:left="1440"/>
        <w:jc w:val="both"/>
        <w:rPr>
          <w:rFonts w:eastAsia="PMingLiU"/>
          <w:b/>
          <w:lang w:val="en-US" w:eastAsia="ja-JP"/>
        </w:rPr>
      </w:pPr>
    </w:p>
    <w:p w14:paraId="451F0DD2" w14:textId="1DDD85C3" w:rsidR="00CF7FDC" w:rsidRPr="001509AE" w:rsidRDefault="001509AE" w:rsidP="00CF7FDC">
      <w:pPr>
        <w:jc w:val="both"/>
      </w:pPr>
      <w:r w:rsidRPr="006C1A0F">
        <w:t xml:space="preserve">In R15, the TCI state of periodic CSI-RS and the spatial relation of periodic SRS have to be updated via RRC. To save RRC reconfiguration latency, the joint DL/UL TCI state of periodic CSI-RS and SRS can be dynamically updated via </w:t>
      </w:r>
    </w:p>
    <w:p w14:paraId="53620A9A" w14:textId="06F2581D" w:rsidR="00CF7FDC" w:rsidRDefault="00CF7FDC" w:rsidP="00CF7FDC">
      <w:pPr>
        <w:jc w:val="both"/>
        <w:rPr>
          <w:b/>
          <w:lang w:eastAsia="ja-JP"/>
        </w:rPr>
      </w:pPr>
      <w:bookmarkStart w:id="9" w:name="_Hlk68354894"/>
      <w:r w:rsidRPr="006C1A0F">
        <w:rPr>
          <w:b/>
          <w:u w:val="single"/>
          <w:lang w:eastAsia="ja-JP"/>
        </w:rPr>
        <w:t xml:space="preserve">Proposal </w:t>
      </w:r>
      <w:r w:rsidR="00F46888">
        <w:rPr>
          <w:b/>
          <w:u w:val="single"/>
          <w:lang w:eastAsia="ja-JP"/>
        </w:rPr>
        <w:t>11</w:t>
      </w:r>
      <w:r w:rsidRPr="006C1A0F">
        <w:rPr>
          <w:b/>
          <w:lang w:eastAsia="ja-JP"/>
        </w:rPr>
        <w:t>: Joint DL/UL TCI state of periodic CSI-RS and SRS can be updated by MAC-CE or DCI.</w:t>
      </w:r>
    </w:p>
    <w:p w14:paraId="0086AD99" w14:textId="6EE40D4E" w:rsidR="008A126A" w:rsidRPr="008A126A"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0" w:name="_Hlk54257923"/>
      <w:bookmarkEnd w:id="9"/>
      <w:r w:rsidRPr="006C1A0F">
        <w:rPr>
          <w:rFonts w:ascii="Arial" w:eastAsiaTheme="minorEastAsia" w:hAnsi="Arial" w:cs="Arial"/>
          <w:sz w:val="32"/>
          <w:szCs w:val="32"/>
          <w:lang w:eastAsia="zh-CN"/>
        </w:rPr>
        <w:t>Issue 2 – L1/L2 Centric Inter-Cell Mobility</w:t>
      </w:r>
    </w:p>
    <w:p w14:paraId="1D0E0184" w14:textId="17BB5A0A" w:rsidR="00BD2D81" w:rsidRPr="002A46C2" w:rsidRDefault="002A46C2" w:rsidP="00F1751E">
      <w:pPr>
        <w:jc w:val="both"/>
      </w:pPr>
      <w:r>
        <w:t xml:space="preserve">In RAN1 #104e, it was agreed to report up to K beams associated at least with non-serving cell(s). On the reported beam metric for non-serving cell, both L1 and L3 RSRP should be supported. L1-RSRP can be used for dynamic </w:t>
      </w:r>
      <w:r w:rsidR="008D17C6">
        <w:t>beam/</w:t>
      </w:r>
      <w:r>
        <w:t xml:space="preserve">cell selection, while L3-RSRP can be used to determine </w:t>
      </w:r>
      <w:r w:rsidR="002D4C0B">
        <w:t>the beam</w:t>
      </w:r>
      <w:r w:rsidR="00306D33">
        <w:t>s</w:t>
      </w:r>
      <w:r w:rsidR="002D4C0B">
        <w:t>/cell</w:t>
      </w:r>
      <w:r w:rsidR="00306D33">
        <w:t>s</w:t>
      </w:r>
      <w:r w:rsidR="002D4C0B">
        <w:t xml:space="preserve"> with good long-term quality as candidate</w:t>
      </w:r>
      <w:r w:rsidR="00306D33">
        <w:t>s</w:t>
      </w:r>
      <w:r w:rsidR="002D4C0B">
        <w:t xml:space="preserve"> for L1-RSRP measurement. </w:t>
      </w:r>
    </w:p>
    <w:p w14:paraId="47AC8165" w14:textId="237F8343" w:rsidR="00F1751E" w:rsidRDefault="00F1751E" w:rsidP="00F1751E">
      <w:pPr>
        <w:jc w:val="both"/>
        <w:rPr>
          <w:b/>
          <w:lang w:val="en-US" w:eastAsia="ja-JP"/>
        </w:rPr>
      </w:pPr>
      <w:r w:rsidRPr="00393471">
        <w:rPr>
          <w:b/>
          <w:u w:val="single"/>
          <w:lang w:val="en-US" w:eastAsia="ja-JP"/>
        </w:rPr>
        <w:t>Proposal</w:t>
      </w:r>
      <w:r w:rsidR="002A46C2" w:rsidRPr="00393471">
        <w:rPr>
          <w:b/>
          <w:u w:val="single"/>
          <w:lang w:val="en-US" w:eastAsia="ja-JP"/>
        </w:rPr>
        <w:t xml:space="preserve"> </w:t>
      </w:r>
      <w:r w:rsidR="00F46888">
        <w:rPr>
          <w:b/>
          <w:u w:val="single"/>
          <w:lang w:val="en-US" w:eastAsia="ja-JP"/>
        </w:rPr>
        <w:t>12</w:t>
      </w:r>
      <w:r w:rsidRPr="00393471">
        <w:rPr>
          <w:b/>
          <w:lang w:val="en-US" w:eastAsia="ja-JP"/>
        </w:rPr>
        <w:t>: For the up to K beams</w:t>
      </w:r>
      <w:r w:rsidRPr="001562AE">
        <w:rPr>
          <w:b/>
          <w:lang w:val="en-US" w:eastAsia="ja-JP"/>
        </w:rPr>
        <w:t xml:space="preserve"> associated at least with non-serving cell(s)</w:t>
      </w:r>
      <w:r>
        <w:rPr>
          <w:b/>
          <w:lang w:val="en-US" w:eastAsia="ja-JP"/>
        </w:rPr>
        <w:t xml:space="preserve"> </w:t>
      </w:r>
      <w:r w:rsidRPr="001562AE">
        <w:rPr>
          <w:b/>
          <w:lang w:val="en-US" w:eastAsia="ja-JP"/>
        </w:rPr>
        <w:t xml:space="preserve">in a single </w:t>
      </w:r>
      <w:r>
        <w:rPr>
          <w:b/>
          <w:lang w:val="en-US" w:eastAsia="ja-JP"/>
        </w:rPr>
        <w:t xml:space="preserve">report, support </w:t>
      </w:r>
      <w:r w:rsidR="00B77E57">
        <w:rPr>
          <w:b/>
          <w:lang w:val="en-US" w:eastAsia="ja-JP"/>
        </w:rPr>
        <w:t xml:space="preserve">that gNB can configure either </w:t>
      </w:r>
      <w:r>
        <w:rPr>
          <w:b/>
          <w:lang w:val="en-US" w:eastAsia="ja-JP"/>
        </w:rPr>
        <w:t>L1</w:t>
      </w:r>
      <w:r w:rsidR="002A46C2">
        <w:rPr>
          <w:b/>
          <w:lang w:val="en-US" w:eastAsia="ja-JP"/>
        </w:rPr>
        <w:t xml:space="preserve"> </w:t>
      </w:r>
      <w:r w:rsidR="00B77E57">
        <w:rPr>
          <w:b/>
          <w:lang w:val="en-US" w:eastAsia="ja-JP"/>
        </w:rPr>
        <w:t xml:space="preserve">or </w:t>
      </w:r>
      <w:r w:rsidR="002A46C2">
        <w:rPr>
          <w:b/>
          <w:lang w:val="en-US" w:eastAsia="ja-JP"/>
        </w:rPr>
        <w:t xml:space="preserve">L3 </w:t>
      </w:r>
      <w:r>
        <w:rPr>
          <w:b/>
          <w:lang w:val="en-US" w:eastAsia="ja-JP"/>
        </w:rPr>
        <w:t xml:space="preserve">RSRP as the </w:t>
      </w:r>
      <w:r w:rsidR="002D5559">
        <w:rPr>
          <w:b/>
          <w:lang w:val="en-US" w:eastAsia="ja-JP"/>
        </w:rPr>
        <w:t xml:space="preserve">reported beam </w:t>
      </w:r>
      <w:r>
        <w:rPr>
          <w:b/>
          <w:lang w:val="en-US" w:eastAsia="ja-JP"/>
        </w:rPr>
        <w:t>metric</w:t>
      </w:r>
      <w:r w:rsidR="00F5409C">
        <w:rPr>
          <w:b/>
          <w:lang w:val="en-US" w:eastAsia="ja-JP"/>
        </w:rPr>
        <w:t xml:space="preserve">. </w:t>
      </w:r>
    </w:p>
    <w:p w14:paraId="6FA2D738" w14:textId="788C23FE" w:rsidR="003300B0" w:rsidRPr="00304A92" w:rsidRDefault="006F44CE" w:rsidP="003300B0">
      <w:pPr>
        <w:jc w:val="both"/>
      </w:pPr>
      <w:r w:rsidRPr="00304A92">
        <w:t>In the context of inter-cell mTRP, group</w:t>
      </w:r>
      <w:r w:rsidR="00314EE3" w:rsidRPr="00304A92">
        <w:t>-</w:t>
      </w:r>
      <w:r w:rsidRPr="00304A92">
        <w:t xml:space="preserve">based beam report should be extended such that the two reported beams per group can be from serving and non-serving cells, respectively. </w:t>
      </w:r>
      <w:r w:rsidR="00A408B8" w:rsidRPr="00304A92">
        <w:t>For example</w:t>
      </w:r>
      <w:r w:rsidRPr="00304A92">
        <w:t xml:space="preserve">, one reported RS can </w:t>
      </w:r>
      <w:r w:rsidR="00B00239" w:rsidRPr="00304A92">
        <w:t xml:space="preserve">have the root QCL source </w:t>
      </w:r>
      <w:r w:rsidR="00A408B8" w:rsidRPr="00304A92">
        <w:t xml:space="preserve">RS </w:t>
      </w:r>
      <w:r w:rsidR="00B00239" w:rsidRPr="00304A92">
        <w:t>as</w:t>
      </w:r>
      <w:r w:rsidRPr="00304A92">
        <w:t xml:space="preserve"> SSB from a non-serving cell, while the other reported RS </w:t>
      </w:r>
      <w:r w:rsidR="00A408B8" w:rsidRPr="00304A92">
        <w:t xml:space="preserve">can </w:t>
      </w:r>
      <w:r w:rsidR="00295BC5" w:rsidRPr="00304A92">
        <w:t>ha</w:t>
      </w:r>
      <w:r w:rsidR="00A408B8" w:rsidRPr="00304A92">
        <w:t>ve</w:t>
      </w:r>
      <w:r w:rsidR="00295BC5" w:rsidRPr="00304A92">
        <w:t xml:space="preserve"> </w:t>
      </w:r>
      <w:r w:rsidR="00360EA8" w:rsidRPr="00304A92">
        <w:t xml:space="preserve">the </w:t>
      </w:r>
      <w:r w:rsidR="00B00239" w:rsidRPr="00304A92">
        <w:t xml:space="preserve">root </w:t>
      </w:r>
      <w:r w:rsidR="00295BC5" w:rsidRPr="00304A92">
        <w:t xml:space="preserve">QCL source </w:t>
      </w:r>
      <w:r w:rsidR="00A408B8" w:rsidRPr="00304A92">
        <w:t xml:space="preserve">RS </w:t>
      </w:r>
      <w:r w:rsidR="00295BC5" w:rsidRPr="00304A92">
        <w:t>from the serving cell.</w:t>
      </w:r>
      <w:r w:rsidRPr="00304A92">
        <w:t xml:space="preserve"> </w:t>
      </w:r>
      <w:r w:rsidR="00295BC5" w:rsidRPr="00304A92">
        <w:t xml:space="preserve">Both reported beams from serving and non-serving cells in a </w:t>
      </w:r>
      <w:r w:rsidR="00A408B8" w:rsidRPr="00304A92">
        <w:t xml:space="preserve">beam </w:t>
      </w:r>
      <w:r w:rsidR="00295BC5" w:rsidRPr="00304A92">
        <w:t>group can be simultaneously received by the UE.</w:t>
      </w:r>
    </w:p>
    <w:p w14:paraId="5B4A26B2" w14:textId="15509211" w:rsidR="0012403C" w:rsidRDefault="0012403C" w:rsidP="0012403C">
      <w:pPr>
        <w:jc w:val="both"/>
        <w:rPr>
          <w:b/>
          <w:lang w:val="en-US" w:eastAsia="ja-JP"/>
        </w:rPr>
      </w:pPr>
      <w:r w:rsidRPr="00304A92">
        <w:rPr>
          <w:b/>
          <w:u w:val="single"/>
          <w:lang w:val="en-US" w:eastAsia="ja-JP"/>
        </w:rPr>
        <w:t xml:space="preserve">Proposal </w:t>
      </w:r>
      <w:r w:rsidR="00A411AE" w:rsidRPr="00304A92">
        <w:rPr>
          <w:b/>
          <w:u w:val="single"/>
          <w:lang w:val="en-US" w:eastAsia="ja-JP"/>
        </w:rPr>
        <w:t>1</w:t>
      </w:r>
      <w:r w:rsidR="00F46888">
        <w:rPr>
          <w:b/>
          <w:u w:val="single"/>
          <w:lang w:val="en-US" w:eastAsia="ja-JP"/>
        </w:rPr>
        <w:t>3</w:t>
      </w:r>
      <w:r w:rsidRPr="00304A92">
        <w:rPr>
          <w:b/>
          <w:lang w:val="en-US" w:eastAsia="ja-JP"/>
        </w:rPr>
        <w:t>: For group-based beam report in inter-cell mTRP, support that the two reported beams per group can be from serving and non-serving cells, respectively.</w:t>
      </w:r>
      <w:r>
        <w:rPr>
          <w:b/>
          <w:lang w:val="en-US" w:eastAsia="ja-JP"/>
        </w:rPr>
        <w:t xml:space="preserve"> </w:t>
      </w:r>
    </w:p>
    <w:p w14:paraId="4FE27051" w14:textId="2638D902" w:rsidR="005467EF" w:rsidRPr="005467EF" w:rsidRDefault="005467EF" w:rsidP="00F1751E">
      <w:pPr>
        <w:jc w:val="both"/>
      </w:pPr>
      <w:r w:rsidRPr="005467EF">
        <w:lastRenderedPageBreak/>
        <w:t xml:space="preserve">To </w:t>
      </w:r>
      <w:r>
        <w:t xml:space="preserve">save resource and power consumption for periodic reporting, event triggered </w:t>
      </w:r>
      <w:r w:rsidR="00620D14">
        <w:t xml:space="preserve">beam/cell </w:t>
      </w:r>
      <w:r>
        <w:t xml:space="preserve">report should be supported for UE to report a better candidate non-serving cell if its best SSB RSRP is sufficiently better than that of the serving cell. The report may contain the candidate SSB/cell ID. UE may request UL grant for the report by reusing regular or dedicated SR resource. </w:t>
      </w:r>
    </w:p>
    <w:p w14:paraId="0C246F24" w14:textId="0A86BE92" w:rsidR="00F1751E" w:rsidRDefault="00F1751E" w:rsidP="00F1751E">
      <w:pPr>
        <w:jc w:val="both"/>
        <w:rPr>
          <w:b/>
          <w:lang w:eastAsia="ja-JP"/>
        </w:rPr>
      </w:pPr>
      <w:r w:rsidRPr="00393471">
        <w:rPr>
          <w:b/>
          <w:u w:val="single"/>
          <w:lang w:val="en-US" w:eastAsia="ja-JP"/>
        </w:rPr>
        <w:t>Proposal</w:t>
      </w:r>
      <w:r w:rsidR="00620D14" w:rsidRPr="00393471">
        <w:rPr>
          <w:b/>
          <w:u w:val="single"/>
          <w:lang w:val="en-US" w:eastAsia="ja-JP"/>
        </w:rPr>
        <w:t xml:space="preserve"> </w:t>
      </w:r>
      <w:r w:rsidR="00221110">
        <w:rPr>
          <w:b/>
          <w:u w:val="single"/>
          <w:lang w:val="en-US" w:eastAsia="ja-JP"/>
        </w:rPr>
        <w:t>1</w:t>
      </w:r>
      <w:r w:rsidR="00F46888">
        <w:rPr>
          <w:b/>
          <w:u w:val="single"/>
          <w:lang w:val="en-US" w:eastAsia="ja-JP"/>
        </w:rPr>
        <w:t>4</w:t>
      </w:r>
      <w:r w:rsidRPr="00393471">
        <w:rPr>
          <w:b/>
          <w:lang w:val="en-US" w:eastAsia="ja-JP"/>
        </w:rPr>
        <w:t xml:space="preserve">: </w:t>
      </w:r>
      <w:r w:rsidRPr="00393471">
        <w:rPr>
          <w:b/>
          <w:lang w:eastAsia="ja-JP"/>
        </w:rPr>
        <w:t xml:space="preserve">Support </w:t>
      </w:r>
      <w:r w:rsidR="00FD3B2B" w:rsidRPr="00393471">
        <w:rPr>
          <w:b/>
          <w:lang w:eastAsia="ja-JP"/>
        </w:rPr>
        <w:t>event triggered</w:t>
      </w:r>
      <w:r>
        <w:rPr>
          <w:b/>
          <w:lang w:eastAsia="ja-JP"/>
        </w:rPr>
        <w:t xml:space="preserve"> report of </w:t>
      </w:r>
      <w:r w:rsidR="00FD3B2B">
        <w:rPr>
          <w:b/>
          <w:lang w:eastAsia="ja-JP"/>
        </w:rPr>
        <w:t xml:space="preserve">SSB </w:t>
      </w:r>
      <w:r w:rsidR="00A368DE">
        <w:rPr>
          <w:b/>
          <w:lang w:eastAsia="ja-JP"/>
        </w:rPr>
        <w:t>L1-</w:t>
      </w:r>
      <w:r w:rsidR="00FD3B2B">
        <w:rPr>
          <w:b/>
          <w:lang w:eastAsia="ja-JP"/>
        </w:rPr>
        <w:t xml:space="preserve">RSRP from </w:t>
      </w:r>
      <w:r>
        <w:rPr>
          <w:b/>
          <w:lang w:eastAsia="ja-JP"/>
        </w:rPr>
        <w:t>a candidate non-serving cell.</w:t>
      </w:r>
    </w:p>
    <w:p w14:paraId="707161EA" w14:textId="500BFD0A" w:rsidR="009931FA" w:rsidRPr="00F452CD" w:rsidRDefault="00BB4844" w:rsidP="00F1751E">
      <w:pPr>
        <w:jc w:val="both"/>
      </w:pPr>
      <w:r w:rsidRPr="00BB4844">
        <w:t xml:space="preserve">To </w:t>
      </w:r>
      <w:r w:rsidR="00F452CD">
        <w:t xml:space="preserve">accurately measure SSB from non-serving cells, UE may need to continuously track those SSBs for corresponding timing and Rx beams. To save UE power consumption, the measurement for SSBs </w:t>
      </w:r>
      <w:r w:rsidR="00E2504C">
        <w:t>on</w:t>
      </w:r>
      <w:r w:rsidR="00F452CD">
        <w:t xml:space="preserve"> non-serving cells can be dynamically (de)activated by gNB, e.g. activated only when the best SSB </w:t>
      </w:r>
      <w:r w:rsidR="00717194">
        <w:t>RSRP of the</w:t>
      </w:r>
      <w:r w:rsidR="00F452CD">
        <w:t xml:space="preserve"> serving cell is below a certain threshold, which may imply UE is near the serving cell boundary. </w:t>
      </w:r>
    </w:p>
    <w:p w14:paraId="2F913FAD" w14:textId="769CAE84" w:rsidR="00F1751E" w:rsidRDefault="00F1751E" w:rsidP="00F1751E">
      <w:pPr>
        <w:jc w:val="both"/>
        <w:rPr>
          <w:b/>
          <w:lang w:eastAsia="ja-JP"/>
        </w:rPr>
      </w:pPr>
      <w:r w:rsidRPr="00393471">
        <w:rPr>
          <w:b/>
          <w:u w:val="single"/>
          <w:lang w:eastAsia="ja-JP"/>
        </w:rPr>
        <w:t>Proposal</w:t>
      </w:r>
      <w:r w:rsidR="00044BC5" w:rsidRPr="00393471">
        <w:rPr>
          <w:b/>
          <w:u w:val="single"/>
          <w:lang w:eastAsia="ja-JP"/>
        </w:rPr>
        <w:t xml:space="preserve"> </w:t>
      </w:r>
      <w:r w:rsidR="003C04DE" w:rsidRPr="00393471">
        <w:rPr>
          <w:b/>
          <w:u w:val="single"/>
          <w:lang w:eastAsia="ja-JP"/>
        </w:rPr>
        <w:t>1</w:t>
      </w:r>
      <w:r w:rsidR="00F46888">
        <w:rPr>
          <w:b/>
          <w:u w:val="single"/>
          <w:lang w:eastAsia="ja-JP"/>
        </w:rPr>
        <w:t>5</w:t>
      </w:r>
      <w:r w:rsidR="00221110">
        <w:rPr>
          <w:b/>
          <w:u w:val="single"/>
          <w:lang w:eastAsia="ja-JP"/>
        </w:rPr>
        <w:t>:</w:t>
      </w:r>
      <w:r w:rsidRPr="00393471">
        <w:rPr>
          <w:b/>
          <w:lang w:eastAsia="ja-JP"/>
        </w:rPr>
        <w:t xml:space="preserve"> Support</w:t>
      </w:r>
      <w:r>
        <w:rPr>
          <w:b/>
          <w:lang w:eastAsia="ja-JP"/>
        </w:rPr>
        <w:t xml:space="preserve"> d</w:t>
      </w:r>
      <w:r w:rsidRPr="00CA6DDC">
        <w:rPr>
          <w:b/>
          <w:lang w:eastAsia="ja-JP"/>
        </w:rPr>
        <w:t xml:space="preserve">ynamic </w:t>
      </w:r>
      <w:r w:rsidR="00A368DE">
        <w:rPr>
          <w:b/>
          <w:lang w:eastAsia="ja-JP"/>
        </w:rPr>
        <w:t>(de)</w:t>
      </w:r>
      <w:r w:rsidRPr="00CA6DDC">
        <w:rPr>
          <w:b/>
          <w:lang w:eastAsia="ja-JP"/>
        </w:rPr>
        <w:t xml:space="preserve">activation of the </w:t>
      </w:r>
      <w:r w:rsidR="00A368DE">
        <w:rPr>
          <w:b/>
          <w:lang w:eastAsia="ja-JP"/>
        </w:rPr>
        <w:t>SSB</w:t>
      </w:r>
      <w:r w:rsidRPr="00CA6DDC">
        <w:rPr>
          <w:b/>
          <w:lang w:eastAsia="ja-JP"/>
        </w:rPr>
        <w:t xml:space="preserve"> measurement on non-serving cell(s) via MAC CE</w:t>
      </w:r>
      <w:r>
        <w:rPr>
          <w:b/>
          <w:lang w:eastAsia="ja-JP"/>
        </w:rPr>
        <w:t>.</w:t>
      </w:r>
    </w:p>
    <w:p w14:paraId="657327A8" w14:textId="60C6D622" w:rsidR="00044BC5" w:rsidRPr="008A126A" w:rsidRDefault="008A126A" w:rsidP="00F1751E">
      <w:pPr>
        <w:jc w:val="both"/>
        <w:rPr>
          <w:lang w:val="en-US"/>
        </w:rPr>
      </w:pPr>
      <w:r w:rsidRPr="006C1A0F">
        <w:rPr>
          <w:lang w:val="en-US"/>
        </w:rPr>
        <w:t xml:space="preserve">In L1/L2 based inter-cell mobility, candidate cells or PCIs can be widely separated with different propagation delays to the UE and, hence, UE may have different </w:t>
      </w:r>
      <w:r w:rsidR="00D63D6A">
        <w:rPr>
          <w:lang w:val="en-US"/>
        </w:rPr>
        <w:t xml:space="preserve">Rx timing and </w:t>
      </w:r>
      <w:r w:rsidRPr="006C1A0F">
        <w:rPr>
          <w:lang w:val="en-US"/>
        </w:rPr>
        <w:t xml:space="preserve">TA to them. Therefore, it would be beneficial to support </w:t>
      </w:r>
      <w:r w:rsidR="00D63D6A">
        <w:rPr>
          <w:lang w:val="en-US"/>
        </w:rPr>
        <w:t xml:space="preserve">both </w:t>
      </w:r>
      <w:r w:rsidRPr="006C1A0F">
        <w:rPr>
          <w:lang w:val="en-US"/>
        </w:rPr>
        <w:t xml:space="preserve">different TAs </w:t>
      </w:r>
      <w:r w:rsidR="00D63D6A">
        <w:rPr>
          <w:lang w:val="en-US"/>
        </w:rPr>
        <w:t xml:space="preserve">and Rx timing difference greater than a CP </w:t>
      </w:r>
      <w:r w:rsidRPr="006C1A0F">
        <w:rPr>
          <w:lang w:val="en-US"/>
        </w:rPr>
        <w:t>for serving and non-serving cells at least for single TRP operation. This will increase applicable mobility area without requiring dense deployment of cells.</w:t>
      </w:r>
    </w:p>
    <w:p w14:paraId="2471EFE1" w14:textId="58A88355" w:rsidR="007A5B18" w:rsidRPr="00972ED1" w:rsidRDefault="007A5B18" w:rsidP="007A5B18">
      <w:pPr>
        <w:jc w:val="both"/>
        <w:rPr>
          <w:b/>
          <w:lang w:eastAsia="ja-JP"/>
        </w:rPr>
      </w:pPr>
      <w:r w:rsidRPr="006D0FFA">
        <w:rPr>
          <w:b/>
          <w:u w:val="single"/>
          <w:lang w:eastAsia="ja-JP"/>
        </w:rPr>
        <w:t xml:space="preserve">Proposal </w:t>
      </w:r>
      <w:r w:rsidR="00F46888" w:rsidRPr="006D0FFA">
        <w:rPr>
          <w:b/>
          <w:u w:val="single"/>
          <w:lang w:eastAsia="ja-JP"/>
        </w:rPr>
        <w:t>16</w:t>
      </w:r>
      <w:r w:rsidRPr="00884436">
        <w:rPr>
          <w:b/>
          <w:lang w:eastAsia="ja-JP"/>
        </w:rPr>
        <w:t>: Serving</w:t>
      </w:r>
      <w:r w:rsidRPr="005427B6">
        <w:rPr>
          <w:b/>
          <w:lang w:eastAsia="ja-JP"/>
        </w:rPr>
        <w:t xml:space="preserve"> and non-serving cells can have </w:t>
      </w:r>
      <w:r>
        <w:rPr>
          <w:b/>
          <w:lang w:eastAsia="ja-JP"/>
        </w:rPr>
        <w:t>different TAs a</w:t>
      </w:r>
      <w:r w:rsidR="00D63D6A">
        <w:rPr>
          <w:b/>
          <w:lang w:eastAsia="ja-JP"/>
        </w:rPr>
        <w:t>nd</w:t>
      </w:r>
      <w:r>
        <w:rPr>
          <w:b/>
          <w:lang w:eastAsia="ja-JP"/>
        </w:rPr>
        <w:t xml:space="preserve"> Rx timing difference greater than a CP</w:t>
      </w:r>
      <w:r w:rsidRPr="005427B6">
        <w:rPr>
          <w:b/>
          <w:lang w:eastAsia="ja-JP"/>
        </w:rPr>
        <w:t xml:space="preserve"> at least for single TRP operation.</w:t>
      </w:r>
    </w:p>
    <w:bookmarkEnd w:id="10"/>
    <w:p w14:paraId="07F340A7" w14:textId="25F346B1" w:rsidR="006C1A0F" w:rsidRDefault="006C1A0F" w:rsidP="006C1A0F">
      <w:pPr>
        <w:jc w:val="both"/>
      </w:pPr>
      <w:r w:rsidRPr="006C1A0F">
        <w:t xml:space="preserve">For L1/L2 based inter-cell mobility performance, evaluation was conducted based on the agreed assumptions in [1]. The HO starts when the target cell has 3 dB better L1-RSRP for 10 consecutive measurements than the source cell. The HO latency is modelled as 2 slots for L1 based mobility to account for the DCI based beam switch, and is modelled as a random number in U[1, 1.5]sec followed by an 80 ms blackout duration for L3 based mobility. In Figure </w:t>
      </w:r>
      <w:r w:rsidR="009B5236">
        <w:t>1</w:t>
      </w:r>
      <w:r w:rsidRPr="006C1A0F">
        <w:t xml:space="preserve">, as expected, the L3 based cell switch is always behind the L1 based cell switch in case of 11 horizontally placed SSBs, and the latency increases for higher UE speed. </w:t>
      </w:r>
    </w:p>
    <w:p w14:paraId="2836CED3" w14:textId="56703464" w:rsidR="00E2393C" w:rsidRPr="006C1A0F" w:rsidRDefault="00E2393C" w:rsidP="00E2393C">
      <w:pPr>
        <w:jc w:val="both"/>
      </w:pPr>
      <w:r w:rsidRPr="006C1A0F">
        <w:t xml:space="preserve">To investigate the impact of the cell switch latency on system performance, the serving sector’s RSRP trace is plotted in Figure </w:t>
      </w:r>
      <w:r w:rsidR="000F0804">
        <w:t>2</w:t>
      </w:r>
      <w:r w:rsidRPr="006C1A0F">
        <w:t xml:space="preserve"> for both L1 and L3 based mobility in case of 11 SSBs per sector, based on which the CDF of RSRP difference between L1 and L3 mobility is also plotted for different UE speeds. It can be seen that the median RSRP difference is 18 and 20 dB for UE speed of 60 and 120 kmph, respectively. Similar results can be observed in Figure </w:t>
      </w:r>
      <w:r w:rsidR="004D0300">
        <w:t>3</w:t>
      </w:r>
      <w:r w:rsidRPr="006C1A0F">
        <w:t xml:space="preserve"> for 22 SSBs per sector with 2 rows of 11 SSBs placed vertically. The large RSRP gap implies a significant impact on throughput and latency.</w:t>
      </w:r>
    </w:p>
    <w:p w14:paraId="59A92F8B" w14:textId="77777777" w:rsidR="00E2393C" w:rsidRPr="006C1A0F" w:rsidRDefault="00E2393C" w:rsidP="00E2393C">
      <w:pPr>
        <w:jc w:val="both"/>
        <w:rPr>
          <w:b/>
          <w:lang w:eastAsia="ja-JP"/>
        </w:rPr>
      </w:pPr>
      <w:r w:rsidRPr="006C1A0F">
        <w:rPr>
          <w:b/>
          <w:u w:val="single"/>
          <w:lang w:eastAsia="ja-JP"/>
        </w:rPr>
        <w:t>Observation 1</w:t>
      </w:r>
      <w:r w:rsidRPr="006C1A0F">
        <w:rPr>
          <w:b/>
          <w:lang w:eastAsia="ja-JP"/>
        </w:rPr>
        <w:t>: It can be observed that the median RSRP difference between L1 and L3 based mobility is 18 and 20 dB for UE speed of 60 and 120 kmph, respectively.</w:t>
      </w:r>
    </w:p>
    <w:p w14:paraId="1A040E14" w14:textId="77777777" w:rsidR="006C1A0F" w:rsidRPr="006C1A0F" w:rsidRDefault="006C1A0F" w:rsidP="006C1A0F">
      <w:pPr>
        <w:jc w:val="center"/>
        <w:rPr>
          <w:lang w:eastAsia="ja-JP"/>
        </w:rPr>
      </w:pPr>
      <w:r w:rsidRPr="006C1A0F">
        <w:object w:dxaOrig="9630" w:dyaOrig="10485" w14:anchorId="4BAEB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8pt;height:179.8pt" o:ole="">
            <v:imagedata r:id="rId13" o:title=""/>
          </v:shape>
          <o:OLEObject Type="Embed" ProgID="Visio.Drawing.15" ShapeID="_x0000_i1025" DrawAspect="Content" ObjectID="_1689752477" r:id="rId14"/>
        </w:object>
      </w:r>
      <w:r w:rsidRPr="006C1A0F">
        <w:t xml:space="preserve"> </w:t>
      </w:r>
      <w:r w:rsidRPr="006C1A0F">
        <w:rPr>
          <w:noProof/>
        </w:rPr>
        <w:drawing>
          <wp:inline distT="0" distB="0" distL="0" distR="0" wp14:anchorId="22B0A0A8" wp14:editId="6D10036D">
            <wp:extent cx="3349540" cy="2511457"/>
            <wp:effectExtent l="0" t="0" r="381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3373" cy="2529327"/>
                    </a:xfrm>
                    <a:prstGeom prst="rect">
                      <a:avLst/>
                    </a:prstGeom>
                    <a:noFill/>
                    <a:ln>
                      <a:noFill/>
                    </a:ln>
                  </pic:spPr>
                </pic:pic>
              </a:graphicData>
            </a:graphic>
          </wp:inline>
        </w:drawing>
      </w:r>
    </w:p>
    <w:p w14:paraId="22664BD8" w14:textId="2D028EEA" w:rsidR="006C1A0F" w:rsidRPr="00C54FF2" w:rsidRDefault="006C1A0F" w:rsidP="00C54FF2">
      <w:pPr>
        <w:spacing w:after="200"/>
        <w:jc w:val="center"/>
        <w:rPr>
          <w:b/>
          <w:iCs/>
          <w:szCs w:val="22"/>
        </w:rPr>
      </w:pPr>
      <w:r w:rsidRPr="006C1A0F">
        <w:rPr>
          <w:b/>
          <w:iCs/>
          <w:szCs w:val="22"/>
        </w:rPr>
        <w:t xml:space="preserve">Figure </w:t>
      </w:r>
      <w:r w:rsidR="001D24C0">
        <w:rPr>
          <w:b/>
          <w:iCs/>
          <w:szCs w:val="22"/>
        </w:rPr>
        <w:t>1</w:t>
      </w:r>
      <w:r w:rsidRPr="006C1A0F">
        <w:rPr>
          <w:b/>
          <w:iCs/>
          <w:szCs w:val="22"/>
        </w:rPr>
        <w:t>: Serving Sector Switching Time Trace for L1 &amp; L3 Mobility (11 SSBs per Sector)</w:t>
      </w:r>
    </w:p>
    <w:p w14:paraId="49785C42" w14:textId="77777777" w:rsidR="006C1A0F" w:rsidRPr="006C1A0F" w:rsidRDefault="006C1A0F" w:rsidP="006C1A0F">
      <w:pPr>
        <w:jc w:val="center"/>
        <w:rPr>
          <w:lang w:eastAsia="ja-JP"/>
        </w:rPr>
      </w:pPr>
      <w:bookmarkStart w:id="11" w:name="_Hlk54266194"/>
      <w:r w:rsidRPr="006C1A0F">
        <w:rPr>
          <w:noProof/>
        </w:rPr>
        <w:lastRenderedPageBreak/>
        <w:drawing>
          <wp:inline distT="0" distB="0" distL="0" distR="0" wp14:anchorId="1A6067DB" wp14:editId="7F7D0EC0">
            <wp:extent cx="2952762" cy="2214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8574" cy="2226430"/>
                    </a:xfrm>
                    <a:prstGeom prst="rect">
                      <a:avLst/>
                    </a:prstGeom>
                    <a:noFill/>
                    <a:ln>
                      <a:noFill/>
                    </a:ln>
                  </pic:spPr>
                </pic:pic>
              </a:graphicData>
            </a:graphic>
          </wp:inline>
        </w:drawing>
      </w:r>
      <w:r w:rsidRPr="006C1A0F">
        <w:t xml:space="preserve"> </w:t>
      </w:r>
      <w:r w:rsidRPr="006C1A0F">
        <w:rPr>
          <w:noProof/>
        </w:rPr>
        <w:drawing>
          <wp:inline distT="0" distB="0" distL="0" distR="0" wp14:anchorId="7BABE5EA" wp14:editId="0CA0401E">
            <wp:extent cx="2956182" cy="22165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2162" cy="2243500"/>
                    </a:xfrm>
                    <a:prstGeom prst="rect">
                      <a:avLst/>
                    </a:prstGeom>
                    <a:noFill/>
                    <a:ln>
                      <a:noFill/>
                    </a:ln>
                  </pic:spPr>
                </pic:pic>
              </a:graphicData>
            </a:graphic>
          </wp:inline>
        </w:drawing>
      </w:r>
    </w:p>
    <w:p w14:paraId="03253A60" w14:textId="40E45C23" w:rsidR="006C1A0F" w:rsidRPr="00C54FF2" w:rsidRDefault="006C1A0F" w:rsidP="00C54FF2">
      <w:pPr>
        <w:spacing w:after="200"/>
        <w:jc w:val="center"/>
        <w:rPr>
          <w:b/>
          <w:iCs/>
          <w:szCs w:val="22"/>
        </w:rPr>
      </w:pPr>
      <w:r w:rsidRPr="006C1A0F">
        <w:rPr>
          <w:b/>
          <w:iCs/>
          <w:szCs w:val="22"/>
        </w:rPr>
        <w:t xml:space="preserve">Figure </w:t>
      </w:r>
      <w:r w:rsidR="001D24C0">
        <w:rPr>
          <w:b/>
          <w:iCs/>
          <w:szCs w:val="22"/>
        </w:rPr>
        <w:t>2</w:t>
      </w:r>
      <w:r w:rsidRPr="006C1A0F">
        <w:rPr>
          <w:b/>
          <w:iCs/>
          <w:szCs w:val="22"/>
        </w:rPr>
        <w:t>: Serving Sector RSRP Trace and RSRP Difference CDF for L1 &amp; L3 Mobility (11 SSBs per Sector)</w:t>
      </w:r>
    </w:p>
    <w:p w14:paraId="463D2EF2" w14:textId="77777777" w:rsidR="006C1A0F" w:rsidRPr="006C1A0F" w:rsidRDefault="006C1A0F" w:rsidP="006C1A0F">
      <w:pPr>
        <w:jc w:val="center"/>
        <w:rPr>
          <w:lang w:eastAsia="ja-JP"/>
        </w:rPr>
      </w:pPr>
      <w:r w:rsidRPr="006C1A0F">
        <w:rPr>
          <w:noProof/>
        </w:rPr>
        <w:drawing>
          <wp:inline distT="0" distB="0" distL="0" distR="0" wp14:anchorId="7AC866FB" wp14:editId="7523B234">
            <wp:extent cx="2924124" cy="21924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3438" cy="2199467"/>
                    </a:xfrm>
                    <a:prstGeom prst="rect">
                      <a:avLst/>
                    </a:prstGeom>
                    <a:noFill/>
                    <a:ln>
                      <a:noFill/>
                    </a:ln>
                  </pic:spPr>
                </pic:pic>
              </a:graphicData>
            </a:graphic>
          </wp:inline>
        </w:drawing>
      </w:r>
      <w:r w:rsidRPr="006C1A0F">
        <w:t xml:space="preserve"> </w:t>
      </w:r>
      <w:r w:rsidRPr="006C1A0F">
        <w:rPr>
          <w:noProof/>
        </w:rPr>
        <w:drawing>
          <wp:inline distT="0" distB="0" distL="0" distR="0" wp14:anchorId="75785B04" wp14:editId="25489879">
            <wp:extent cx="2953463" cy="22144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82680" cy="2236389"/>
                    </a:xfrm>
                    <a:prstGeom prst="rect">
                      <a:avLst/>
                    </a:prstGeom>
                    <a:noFill/>
                    <a:ln>
                      <a:noFill/>
                    </a:ln>
                  </pic:spPr>
                </pic:pic>
              </a:graphicData>
            </a:graphic>
          </wp:inline>
        </w:drawing>
      </w:r>
    </w:p>
    <w:p w14:paraId="343ECAFD" w14:textId="50EA1CD5" w:rsidR="006C1A0F" w:rsidRPr="006C1A0F" w:rsidRDefault="006C1A0F" w:rsidP="006C1A0F">
      <w:pPr>
        <w:spacing w:after="200"/>
        <w:jc w:val="center"/>
        <w:rPr>
          <w:b/>
          <w:iCs/>
          <w:szCs w:val="22"/>
        </w:rPr>
      </w:pPr>
      <w:r w:rsidRPr="006C1A0F">
        <w:rPr>
          <w:b/>
          <w:iCs/>
          <w:szCs w:val="22"/>
        </w:rPr>
        <w:t xml:space="preserve">Figure </w:t>
      </w:r>
      <w:r w:rsidR="001D24C0">
        <w:rPr>
          <w:b/>
          <w:iCs/>
          <w:szCs w:val="22"/>
        </w:rPr>
        <w:t>3</w:t>
      </w:r>
      <w:r w:rsidRPr="006C1A0F">
        <w:rPr>
          <w:b/>
          <w:iCs/>
          <w:szCs w:val="22"/>
        </w:rPr>
        <w:t>: Serving Sector RSRP Trace and RSRP Difference CDF for L1 &amp; L3 Mobility (22 SSBs per Sector)</w:t>
      </w:r>
    </w:p>
    <w:bookmarkEnd w:id="11"/>
    <w:p w14:paraId="41797B14"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3 – Dynamic TCI Update Signalling</w:t>
      </w:r>
    </w:p>
    <w:p w14:paraId="750F78A1" w14:textId="6C016513" w:rsidR="00C04AFA" w:rsidRDefault="006039B1" w:rsidP="000E575F">
      <w:pPr>
        <w:jc w:val="both"/>
      </w:pPr>
      <w:r>
        <w:t xml:space="preserve">In RAN1 #104bis-e, it is agreed that RV field of all ‘1’s is used to differentiate DCI format 1_1/1_2 for TCI update without DL assignment from other use cases. However, </w:t>
      </w:r>
      <w:r w:rsidR="00C04AFA">
        <w:t xml:space="preserve">the </w:t>
      </w:r>
      <w:r>
        <w:t xml:space="preserve">RV </w:t>
      </w:r>
      <w:r w:rsidR="00C04AFA">
        <w:t xml:space="preserve">field may be configured with 0 bit by higher layer parameter </w:t>
      </w:r>
      <w:r w:rsidR="00C04AFA" w:rsidRPr="001B1B10">
        <w:rPr>
          <w:i/>
        </w:rPr>
        <w:t>numberOfBitsForRV-DCI-1-2</w:t>
      </w:r>
      <w:r w:rsidR="00C04AFA" w:rsidRPr="00C04AFA">
        <w:t xml:space="preserve">. </w:t>
      </w:r>
      <w:r w:rsidR="00692EEA">
        <w:rPr>
          <w:lang w:eastAsia="zh-CN"/>
        </w:rPr>
        <w:t xml:space="preserve">In this case, the </w:t>
      </w:r>
      <w:r w:rsidR="00692EEA">
        <w:rPr>
          <w:rFonts w:eastAsia="Batang"/>
          <w:i/>
          <w:color w:val="000000"/>
        </w:rPr>
        <w:t>rv</w:t>
      </w:r>
      <w:r w:rsidR="00692EEA">
        <w:rPr>
          <w:rFonts w:eastAsia="Batang"/>
          <w:i/>
          <w:color w:val="000000"/>
          <w:vertAlign w:val="subscript"/>
        </w:rPr>
        <w:t>id</w:t>
      </w:r>
      <w:r w:rsidR="00692EEA">
        <w:rPr>
          <w:lang w:eastAsia="zh-CN"/>
        </w:rPr>
        <w:t xml:space="preserve"> is assumed to be 0, which is different from the all ‘1’s used to identify the DCI format for TCI update. Therefore, the RV field should always present for DCI format 1_2 for TCI update and without DL assignment.</w:t>
      </w:r>
    </w:p>
    <w:p w14:paraId="6A57120D" w14:textId="00426353" w:rsidR="004C4789" w:rsidRPr="005D13B6" w:rsidRDefault="00815845" w:rsidP="000E575F">
      <w:pPr>
        <w:jc w:val="both"/>
        <w:rPr>
          <w:b/>
          <w:lang w:eastAsia="ja-JP"/>
        </w:rPr>
      </w:pPr>
      <w:r w:rsidRPr="00B2669B">
        <w:rPr>
          <w:b/>
          <w:u w:val="single"/>
          <w:lang w:eastAsia="ja-JP"/>
        </w:rPr>
        <w:t xml:space="preserve">Proposal </w:t>
      </w:r>
      <w:r w:rsidR="002C2FB3" w:rsidRPr="00B2669B">
        <w:rPr>
          <w:b/>
          <w:u w:val="single"/>
          <w:lang w:eastAsia="ja-JP"/>
        </w:rPr>
        <w:t>1</w:t>
      </w:r>
      <w:r w:rsidR="004715BD">
        <w:rPr>
          <w:b/>
          <w:u w:val="single"/>
          <w:lang w:eastAsia="ja-JP"/>
        </w:rPr>
        <w:t>7</w:t>
      </w:r>
      <w:r w:rsidRPr="00B2669B">
        <w:rPr>
          <w:b/>
          <w:lang w:eastAsia="ja-JP"/>
        </w:rPr>
        <w:t xml:space="preserve">: For DCI format 1_2 for TCI update and without </w:t>
      </w:r>
      <w:r w:rsidR="006039B1" w:rsidRPr="00B2669B">
        <w:rPr>
          <w:b/>
          <w:lang w:eastAsia="ja-JP"/>
        </w:rPr>
        <w:t>DL assignment</w:t>
      </w:r>
      <w:r w:rsidRPr="00B2669B">
        <w:rPr>
          <w:b/>
          <w:lang w:eastAsia="ja-JP"/>
        </w:rPr>
        <w:t xml:space="preserve">, </w:t>
      </w:r>
      <w:r w:rsidR="00C04AFA" w:rsidRPr="00B2669B">
        <w:rPr>
          <w:b/>
          <w:lang w:eastAsia="ja-JP"/>
        </w:rPr>
        <w:t>the</w:t>
      </w:r>
      <w:r w:rsidRPr="00B2669B">
        <w:rPr>
          <w:b/>
          <w:lang w:eastAsia="ja-JP"/>
        </w:rPr>
        <w:t xml:space="preserve"> RV </w:t>
      </w:r>
      <w:r w:rsidR="00DE2A14" w:rsidRPr="00B2669B">
        <w:rPr>
          <w:b/>
          <w:lang w:eastAsia="ja-JP"/>
        </w:rPr>
        <w:t>field</w:t>
      </w:r>
      <w:r w:rsidRPr="00B2669B">
        <w:rPr>
          <w:b/>
          <w:lang w:eastAsia="ja-JP"/>
        </w:rPr>
        <w:t xml:space="preserve"> should always present.</w:t>
      </w:r>
      <w:r>
        <w:rPr>
          <w:b/>
          <w:lang w:eastAsia="ja-JP"/>
        </w:rPr>
        <w:t xml:space="preserve"> </w:t>
      </w:r>
    </w:p>
    <w:p w14:paraId="325B717C" w14:textId="4B20EACD" w:rsidR="00B96F55" w:rsidRDefault="00DB190D" w:rsidP="006A7D1F">
      <w:pPr>
        <w:jc w:val="both"/>
      </w:pPr>
      <w:r>
        <w:t xml:space="preserve">In case of </w:t>
      </w:r>
      <w:r w:rsidR="00E528D7">
        <w:t>T</w:t>
      </w:r>
      <w:r>
        <w:t xml:space="preserve">ype-1 </w:t>
      </w:r>
      <w:r w:rsidR="00E528D7">
        <w:t xml:space="preserve">HARQ-ACK </w:t>
      </w:r>
      <w:r>
        <w:t xml:space="preserve">codebook, one issue for the TCI updating DCI without DL assignment is that the indicated virtual PDSCH occasion may not fall into the candidate K1 window of the indicated PUCCH resource carrying the codebook. For example, suppose the candidate K1 set includes </w:t>
      </w:r>
      <w:r w:rsidR="004761CA">
        <w:t xml:space="preserve">two candidate values of </w:t>
      </w:r>
      <w:r>
        <w:t>K1={2, 4}, TCI updating DCI without DL assignment is sent in slot #n, the indicated virtual PDSCH occasion is in slot #n+1, and the indicated PUCCH for</w:t>
      </w:r>
      <w:r w:rsidR="004E5500">
        <w:t xml:space="preserve"> A</w:t>
      </w:r>
      <w:r w:rsidR="00E64516">
        <w:t>/N</w:t>
      </w:r>
      <w:r>
        <w:t xml:space="preserve"> is in slot #n+2. </w:t>
      </w:r>
      <w:r w:rsidR="00E528D7">
        <w:t xml:space="preserve">In this case, the </w:t>
      </w:r>
      <w:r w:rsidR="004761CA">
        <w:t xml:space="preserve">Type-1 codebook </w:t>
      </w:r>
      <w:r w:rsidR="004E5500">
        <w:t xml:space="preserve">will </w:t>
      </w:r>
      <w:r w:rsidR="004761CA">
        <w:t xml:space="preserve">only consider PDSCH occasions in slot #n and #n-2, and </w:t>
      </w:r>
      <w:r w:rsidR="004E5500">
        <w:t>will</w:t>
      </w:r>
      <w:r w:rsidR="004761CA">
        <w:t xml:space="preserve"> not consider the indicated virtual PDSCH occasion in slot #n+1. Therefore,</w:t>
      </w:r>
      <w:r w:rsidR="00B96F55" w:rsidRPr="00B96F55">
        <w:t xml:space="preserve"> there is no valid A/N </w:t>
      </w:r>
      <w:r w:rsidR="004761CA">
        <w:t xml:space="preserve">bit </w:t>
      </w:r>
      <w:r w:rsidR="00B96F55" w:rsidRPr="00B96F55">
        <w:t xml:space="preserve">position for the </w:t>
      </w:r>
      <w:r w:rsidR="004761CA">
        <w:t>TCI updating</w:t>
      </w:r>
      <w:r w:rsidR="00B96F55" w:rsidRPr="00B96F55">
        <w:t xml:space="preserve"> DCI, which is based on the </w:t>
      </w:r>
      <w:r w:rsidR="004761CA">
        <w:t xml:space="preserve">virtual PDSCH </w:t>
      </w:r>
      <w:r w:rsidR="00B96F55" w:rsidRPr="00B96F55">
        <w:t>occasion.</w:t>
      </w:r>
      <w:r w:rsidR="004761CA">
        <w:t xml:space="preserve"> A simple solution is to clarify that the indicated virtual PDSCH occasion must be in the candidate K1 window, i.e. the </w:t>
      </w:r>
      <w:r w:rsidR="000319DC">
        <w:t>value</w:t>
      </w:r>
      <w:r w:rsidR="004761CA">
        <w:t xml:space="preserve"> of K1-K0</w:t>
      </w:r>
      <w:r w:rsidR="004761CA" w:rsidRPr="004761CA">
        <w:t xml:space="preserve"> shall be among the “set of slot timing values K1” as defined in Section 9.1.2.1 of 38.213</w:t>
      </w:r>
      <w:r w:rsidR="004761CA">
        <w:t xml:space="preserve">, where </w:t>
      </w:r>
      <w:r w:rsidR="00FB2CAD">
        <w:t xml:space="preserve">the </w:t>
      </w:r>
      <w:r w:rsidR="004761CA">
        <w:t xml:space="preserve">K1 in the “K1-K0” </w:t>
      </w:r>
      <w:r w:rsidR="00FB2CAD">
        <w:lastRenderedPageBreak/>
        <w:t>refers to</w:t>
      </w:r>
      <w:r w:rsidR="004761CA">
        <w:t xml:space="preserve"> the HARQ-ACK timing indicated in the DCI and determines the time offset between the DCI and the PUCCH, while the indicated K0 in the “K1-K0” determines the time offset between the DCI and the virtual PDSCH occasion.  </w:t>
      </w:r>
    </w:p>
    <w:p w14:paraId="01CA5230" w14:textId="6F2F526D" w:rsidR="004C4789" w:rsidRDefault="004C4789" w:rsidP="004C4789">
      <w:r w:rsidRPr="006D0FFA">
        <w:rPr>
          <w:b/>
          <w:bCs/>
          <w:u w:val="single"/>
        </w:rPr>
        <w:t xml:space="preserve">Proposal </w:t>
      </w:r>
      <w:r w:rsidR="004715BD" w:rsidRPr="006D0FFA">
        <w:rPr>
          <w:b/>
          <w:bCs/>
          <w:u w:val="single"/>
        </w:rPr>
        <w:t>18</w:t>
      </w:r>
      <w:r w:rsidRPr="00974DAB">
        <w:rPr>
          <w:b/>
          <w:bCs/>
        </w:rPr>
        <w:t xml:space="preserve">: </w:t>
      </w:r>
      <w:r w:rsidR="00DB190D" w:rsidRPr="00974DAB">
        <w:rPr>
          <w:b/>
          <w:bCs/>
        </w:rPr>
        <w:t xml:space="preserve">For </w:t>
      </w:r>
      <w:r w:rsidR="00E528D7" w:rsidRPr="006D4B4E">
        <w:rPr>
          <w:b/>
          <w:bCs/>
        </w:rPr>
        <w:t>T</w:t>
      </w:r>
      <w:r w:rsidR="00DB190D" w:rsidRPr="006D0FFA">
        <w:rPr>
          <w:b/>
          <w:bCs/>
        </w:rPr>
        <w:t>ype</w:t>
      </w:r>
      <w:r w:rsidR="00DB190D">
        <w:rPr>
          <w:b/>
          <w:bCs/>
        </w:rPr>
        <w:t xml:space="preserve">-1 </w:t>
      </w:r>
      <w:r w:rsidR="00E528D7">
        <w:rPr>
          <w:b/>
          <w:bCs/>
        </w:rPr>
        <w:t xml:space="preserve">HARQ-ACK </w:t>
      </w:r>
      <w:r w:rsidR="00DB190D">
        <w:rPr>
          <w:b/>
          <w:bCs/>
        </w:rPr>
        <w:t>codebook, i</w:t>
      </w:r>
      <w:r>
        <w:rPr>
          <w:b/>
          <w:bCs/>
        </w:rPr>
        <w:t>f TDRA of DCI indicates K0 for the virtual PDSCH and the DCI indicates a value K1 for HARQ-A</w:t>
      </w:r>
      <w:r w:rsidR="00E528D7">
        <w:rPr>
          <w:b/>
          <w:bCs/>
        </w:rPr>
        <w:t>CK</w:t>
      </w:r>
      <w:r>
        <w:rPr>
          <w:b/>
          <w:bCs/>
        </w:rPr>
        <w:t xml:space="preserve"> timing, then </w:t>
      </w:r>
      <w:r w:rsidR="00DB190D">
        <w:rPr>
          <w:b/>
          <w:bCs/>
        </w:rPr>
        <w:t>the</w:t>
      </w:r>
      <w:r w:rsidR="00114370">
        <w:rPr>
          <w:b/>
          <w:bCs/>
        </w:rPr>
        <w:t xml:space="preserve"> value</w:t>
      </w:r>
      <w:r w:rsidR="00DB190D">
        <w:rPr>
          <w:b/>
          <w:bCs/>
        </w:rPr>
        <w:t xml:space="preserve"> of </w:t>
      </w:r>
      <w:r>
        <w:rPr>
          <w:b/>
          <w:bCs/>
        </w:rPr>
        <w:t xml:space="preserve">K1-K0 </w:t>
      </w:r>
      <w:bookmarkStart w:id="12" w:name="_Hlk78626787"/>
      <w:r>
        <w:rPr>
          <w:b/>
          <w:bCs/>
        </w:rPr>
        <w:t>shall be among the “set of slot timing values K1” as defined in Section 9.1.2.1 of 38.213</w:t>
      </w:r>
      <w:bookmarkEnd w:id="12"/>
      <w:r>
        <w:t>.</w:t>
      </w:r>
    </w:p>
    <w:p w14:paraId="65E36A6E" w14:textId="0456D734" w:rsidR="00941296" w:rsidRDefault="009646A4" w:rsidP="009646A4">
      <w:pPr>
        <w:jc w:val="both"/>
      </w:pPr>
      <w:r>
        <w:t>In R16, the application time for a PL RS activated by the MAC-CE is defined as 3 ms after the ACK for the MAC-CE if the PL RS has been maintained by the UE. In RAN1 #105e, it is agreed that the application time for the DCI indicated beam indication is X ms after the ACK for the DCI. However, the application time for the PL RS associated with the beam indication</w:t>
      </w:r>
      <w:r w:rsidR="00941296">
        <w:t xml:space="preserve"> still</w:t>
      </w:r>
      <w:r>
        <w:t xml:space="preserve"> needs to be clarified. </w:t>
      </w:r>
      <w:r w:rsidR="00941296">
        <w:t>In addition, it is agreed that UE shall maintain the PL RS associated with each activated UL or joint TCI state. Therefore, a</w:t>
      </w:r>
      <w:r>
        <w:t xml:space="preserve"> simple clarification could be </w:t>
      </w:r>
      <w:r w:rsidR="00941296">
        <w:t xml:space="preserve">that the application time for the associated PL RS can be the same as that for the beam indication. </w:t>
      </w:r>
    </w:p>
    <w:p w14:paraId="043CA115" w14:textId="0DC09EDE" w:rsidR="009646A4" w:rsidRDefault="004C4789" w:rsidP="004C4789">
      <w:pPr>
        <w:jc w:val="both"/>
        <w:rPr>
          <w:b/>
          <w:bCs/>
        </w:rPr>
      </w:pPr>
      <w:r w:rsidRPr="006D0FFA">
        <w:rPr>
          <w:b/>
          <w:bCs/>
          <w:u w:val="single"/>
        </w:rPr>
        <w:t xml:space="preserve">Proposal </w:t>
      </w:r>
      <w:r w:rsidR="00F92D8D" w:rsidRPr="006D0FFA">
        <w:rPr>
          <w:b/>
          <w:bCs/>
          <w:u w:val="single"/>
        </w:rPr>
        <w:t>19</w:t>
      </w:r>
      <w:r w:rsidRPr="00974DAB">
        <w:rPr>
          <w:b/>
          <w:bCs/>
        </w:rPr>
        <w:t xml:space="preserve">: </w:t>
      </w:r>
      <w:r w:rsidR="009646A4" w:rsidRPr="006D4B4E">
        <w:rPr>
          <w:b/>
          <w:bCs/>
        </w:rPr>
        <w:t>The application</w:t>
      </w:r>
      <w:r w:rsidR="009646A4">
        <w:rPr>
          <w:b/>
          <w:bCs/>
        </w:rPr>
        <w:t xml:space="preserve"> time for </w:t>
      </w:r>
      <w:r w:rsidR="00EC39D3">
        <w:rPr>
          <w:b/>
          <w:bCs/>
        </w:rPr>
        <w:t>the</w:t>
      </w:r>
      <w:r w:rsidR="009646A4">
        <w:rPr>
          <w:b/>
          <w:bCs/>
        </w:rPr>
        <w:t xml:space="preserve"> PL RS associated with </w:t>
      </w:r>
      <w:r w:rsidR="00EC39D3">
        <w:rPr>
          <w:b/>
          <w:bCs/>
        </w:rPr>
        <w:t>an</w:t>
      </w:r>
      <w:r w:rsidR="009646A4">
        <w:rPr>
          <w:b/>
          <w:bCs/>
        </w:rPr>
        <w:t xml:space="preserve"> </w:t>
      </w:r>
      <w:r w:rsidR="00941296">
        <w:rPr>
          <w:b/>
          <w:bCs/>
        </w:rPr>
        <w:t xml:space="preserve">updated </w:t>
      </w:r>
      <w:r w:rsidR="009646A4">
        <w:rPr>
          <w:b/>
          <w:bCs/>
        </w:rPr>
        <w:t>beam indication</w:t>
      </w:r>
      <w:r w:rsidR="00941296">
        <w:rPr>
          <w:b/>
          <w:bCs/>
        </w:rPr>
        <w:t xml:space="preserve"> </w:t>
      </w:r>
      <w:r w:rsidR="009646A4">
        <w:rPr>
          <w:b/>
          <w:bCs/>
        </w:rPr>
        <w:t xml:space="preserve">by the DCI can be the same as that for the </w:t>
      </w:r>
      <w:r w:rsidR="00941296">
        <w:rPr>
          <w:b/>
          <w:bCs/>
        </w:rPr>
        <w:t xml:space="preserve">updated </w:t>
      </w:r>
      <w:r w:rsidR="009646A4">
        <w:rPr>
          <w:b/>
          <w:bCs/>
        </w:rPr>
        <w:t>beam indication.</w:t>
      </w:r>
    </w:p>
    <w:p w14:paraId="291D0BF5" w14:textId="6E8D0658" w:rsidR="00D65C3A" w:rsidRPr="00D65C3A" w:rsidRDefault="00D65C3A" w:rsidP="00D65C3A">
      <w:pPr>
        <w:jc w:val="both"/>
        <w:rPr>
          <w:lang w:val="en-US"/>
        </w:rPr>
      </w:pPr>
      <w:r>
        <w:rPr>
          <w:lang w:val="en-US"/>
        </w:rPr>
        <w:t xml:space="preserve">Furthermore, additional application time should be added when the SCS of the TCI updating DCI is smaller than that of applied channel(s) to account for extra DCI decoding latency. The additional application time may reuse the additional beam switching delay defined for cross-carrier AP CSI-RS triggering with different numerologies. </w:t>
      </w:r>
    </w:p>
    <w:p w14:paraId="5A607970" w14:textId="0BC5DB13" w:rsidR="00D65C3A" w:rsidRPr="00D65C3A" w:rsidRDefault="00D65C3A" w:rsidP="00D65C3A">
      <w:pPr>
        <w:jc w:val="both"/>
        <w:rPr>
          <w:b/>
        </w:rPr>
      </w:pPr>
      <w:bookmarkStart w:id="13" w:name="_Hlk71210101"/>
      <w:r w:rsidRPr="00393471">
        <w:rPr>
          <w:b/>
          <w:u w:val="single"/>
        </w:rPr>
        <w:t xml:space="preserve">Proposal </w:t>
      </w:r>
      <w:r w:rsidR="00F92D8D">
        <w:rPr>
          <w:b/>
          <w:u w:val="single"/>
        </w:rPr>
        <w:t>20</w:t>
      </w:r>
      <w:r w:rsidRPr="00393471">
        <w:rPr>
          <w:b/>
        </w:rPr>
        <w:t>: If the TCI updating</w:t>
      </w:r>
      <w:r w:rsidRPr="00D65C3A">
        <w:rPr>
          <w:b/>
        </w:rPr>
        <w:t xml:space="preserve"> DCI has smaller SCS than the applied channel(s), additional application time should be added to account for extra DCI decoding latency.</w:t>
      </w:r>
    </w:p>
    <w:p w14:paraId="6C6E9FC0" w14:textId="20CD6E39" w:rsidR="00D65C3A" w:rsidRPr="00D65C3A" w:rsidRDefault="00D65C3A" w:rsidP="004A49B3">
      <w:pPr>
        <w:numPr>
          <w:ilvl w:val="0"/>
          <w:numId w:val="4"/>
        </w:numPr>
        <w:jc w:val="both"/>
        <w:rPr>
          <w:b/>
        </w:rPr>
      </w:pPr>
      <w:r w:rsidRPr="00D65C3A">
        <w:rPr>
          <w:b/>
        </w:rPr>
        <w:t>Value may reuse the additional beam switching timing delay d defined in 38.214 Table 5.2.1.5.1a-1.</w:t>
      </w:r>
    </w:p>
    <w:bookmarkEnd w:id="13"/>
    <w:p w14:paraId="55703035" w14:textId="66EEA64C" w:rsidR="006A7D1F" w:rsidRPr="00F23B3E" w:rsidRDefault="00F23B3E" w:rsidP="006A7D1F">
      <w:pPr>
        <w:jc w:val="both"/>
      </w:pPr>
      <w:r w:rsidRPr="006C1A0F">
        <w:t xml:space="preserve">In R17, PUCCH repetition has been introduced to further improve control reliability in mTRP. In presence of PUCCH repetition, the application time for DCI based TCI state and PL RS update should be defined from the end of last PUCCH repetition. </w:t>
      </w:r>
    </w:p>
    <w:p w14:paraId="4BF64AD4" w14:textId="7ACC3D34" w:rsidR="006A7D1F" w:rsidRPr="004D0DBF" w:rsidRDefault="006A7D1F" w:rsidP="006A7D1F">
      <w:pPr>
        <w:jc w:val="both"/>
        <w:rPr>
          <w:lang w:val="en-US"/>
        </w:rPr>
      </w:pPr>
      <w:r w:rsidRPr="004D0DBF">
        <w:rPr>
          <w:b/>
          <w:u w:val="single"/>
          <w:lang w:eastAsia="ja-JP"/>
        </w:rPr>
        <w:t xml:space="preserve">Proposal </w:t>
      </w:r>
      <w:r w:rsidR="00F92D8D">
        <w:rPr>
          <w:b/>
          <w:u w:val="single"/>
          <w:lang w:eastAsia="ja-JP"/>
        </w:rPr>
        <w:t>21</w:t>
      </w:r>
      <w:r w:rsidRPr="004D0DBF">
        <w:rPr>
          <w:b/>
          <w:lang w:eastAsia="ja-JP"/>
        </w:rPr>
        <w:t>: In presence of PUCCH repetition, the application time for DCI based TCI state and PL RS update should be defined from the last PUCCH repetition.</w:t>
      </w:r>
    </w:p>
    <w:p w14:paraId="2248941D" w14:textId="1E61A950"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4 – Fast UL Panel Selection</w:t>
      </w:r>
    </w:p>
    <w:p w14:paraId="343D9877" w14:textId="55916E4D" w:rsidR="009F0C55" w:rsidRDefault="000E19E9" w:rsidP="006C1A0F">
      <w:pPr>
        <w:jc w:val="both"/>
      </w:pPr>
      <w:r>
        <w:t xml:space="preserve">On the UL panel selection, one use case is to support different configurations across UE panels. </w:t>
      </w:r>
      <w:r w:rsidR="00C44D81">
        <w:t>To support panel specific configuration, UE needs to report panel related capabilities, including number of DL/UL panels, number of beams per panel, number of antenna ports per panel, and panel specific activation</w:t>
      </w:r>
      <w:r w:rsidR="003B02E2">
        <w:t>/selection</w:t>
      </w:r>
      <w:r w:rsidR="00C44D81">
        <w:t xml:space="preserve"> delay. In addition, the panel specific capability can be common across multiple CCs, which share the same physical panel. </w:t>
      </w:r>
    </w:p>
    <w:p w14:paraId="1F06B80D" w14:textId="29426F8C" w:rsidR="00950C81" w:rsidRPr="007F0990" w:rsidRDefault="00950C81" w:rsidP="00950C81">
      <w:pPr>
        <w:jc w:val="both"/>
        <w:rPr>
          <w:b/>
          <w:lang w:eastAsia="ja-JP"/>
        </w:rPr>
      </w:pPr>
      <w:r w:rsidRPr="007F0990">
        <w:rPr>
          <w:b/>
          <w:u w:val="single"/>
          <w:lang w:eastAsia="ja-JP"/>
        </w:rPr>
        <w:t xml:space="preserve">Proposal </w:t>
      </w:r>
      <w:r w:rsidR="002C2FB3" w:rsidRPr="007F0990">
        <w:rPr>
          <w:b/>
          <w:u w:val="single"/>
          <w:lang w:eastAsia="ja-JP"/>
        </w:rPr>
        <w:t>2</w:t>
      </w:r>
      <w:r w:rsidR="00F92D8D">
        <w:rPr>
          <w:b/>
          <w:u w:val="single"/>
          <w:lang w:eastAsia="ja-JP"/>
        </w:rPr>
        <w:t>2</w:t>
      </w:r>
      <w:r w:rsidRPr="007F0990">
        <w:rPr>
          <w:b/>
          <w:lang w:eastAsia="ja-JP"/>
        </w:rPr>
        <w:t>: Support UE to report the panel related capabilities.</w:t>
      </w:r>
    </w:p>
    <w:p w14:paraId="7D50355B" w14:textId="2A1770F7" w:rsidR="007A0B53" w:rsidRPr="007F0990" w:rsidRDefault="00950C81" w:rsidP="004A49B3">
      <w:pPr>
        <w:numPr>
          <w:ilvl w:val="0"/>
          <w:numId w:val="4"/>
        </w:numPr>
        <w:rPr>
          <w:rFonts w:eastAsia="Times New Roman"/>
          <w:b/>
        </w:rPr>
      </w:pPr>
      <w:r w:rsidRPr="007F0990">
        <w:rPr>
          <w:rFonts w:eastAsia="Times New Roman"/>
          <w:b/>
        </w:rPr>
        <w:t xml:space="preserve">The capabilities include number of DL/UL panels, number of antenna ports per panel, maximum resource number per </w:t>
      </w:r>
      <w:r w:rsidR="0055651E" w:rsidRPr="007F0990">
        <w:rPr>
          <w:rFonts w:eastAsia="Times New Roman"/>
          <w:b/>
        </w:rPr>
        <w:t xml:space="preserve">resource set of </w:t>
      </w:r>
      <w:r w:rsidRPr="007F0990">
        <w:rPr>
          <w:rFonts w:eastAsia="Times New Roman"/>
          <w:b/>
        </w:rPr>
        <w:t xml:space="preserve">SRS </w:t>
      </w:r>
      <w:r w:rsidR="0055651E" w:rsidRPr="007F0990">
        <w:rPr>
          <w:rFonts w:eastAsia="Times New Roman"/>
          <w:b/>
        </w:rPr>
        <w:t xml:space="preserve">for </w:t>
      </w:r>
      <w:r w:rsidRPr="007F0990">
        <w:rPr>
          <w:rFonts w:eastAsia="Times New Roman"/>
          <w:b/>
        </w:rPr>
        <w:t>BM, panel specific activation</w:t>
      </w:r>
      <w:r w:rsidR="003B02E2" w:rsidRPr="007F0990">
        <w:rPr>
          <w:rFonts w:eastAsia="Times New Roman"/>
          <w:b/>
        </w:rPr>
        <w:t>/selection</w:t>
      </w:r>
      <w:r w:rsidRPr="007F0990">
        <w:rPr>
          <w:rFonts w:eastAsia="Times New Roman"/>
          <w:b/>
        </w:rPr>
        <w:t xml:space="preserve"> delay.</w:t>
      </w:r>
    </w:p>
    <w:p w14:paraId="5FCF7E1F" w14:textId="5B5671D1" w:rsidR="00950C81" w:rsidRPr="007F0990" w:rsidRDefault="00950C81" w:rsidP="004A49B3">
      <w:pPr>
        <w:numPr>
          <w:ilvl w:val="0"/>
          <w:numId w:val="4"/>
        </w:numPr>
        <w:rPr>
          <w:rFonts w:eastAsia="Times New Roman"/>
          <w:b/>
        </w:rPr>
      </w:pPr>
      <w:r w:rsidRPr="007F0990">
        <w:rPr>
          <w:rFonts w:eastAsia="Times New Roman"/>
          <w:b/>
        </w:rPr>
        <w:t xml:space="preserve"> </w:t>
      </w:r>
      <w:r w:rsidR="007A0B53" w:rsidRPr="007F0990">
        <w:rPr>
          <w:rFonts w:eastAsia="Times New Roman"/>
          <w:b/>
        </w:rPr>
        <w:t xml:space="preserve">Reported panel related capabilities can be common across multiple CCs. </w:t>
      </w:r>
    </w:p>
    <w:p w14:paraId="719FCCBC" w14:textId="3A0EE62C" w:rsidR="001F37CE" w:rsidRDefault="005B5780" w:rsidP="006C1A0F">
      <w:pPr>
        <w:jc w:val="both"/>
      </w:pPr>
      <w:r w:rsidRPr="006C1A0F">
        <w:t xml:space="preserve">In RAN1 #103e, it is agreed that UE-initiated UL panel selection/activation should be supported. The UE-initiated activation could be UE request for gNB to approve, or UE indicating its decision to gNB. However, the final decision on UE panel activation should be left to UE as today’s behaviour. Because UE’s decision on panel activation is based on various factors like power consumption, which are difficult to be known by gNB accurately and timely. To avoid negative impact to UE performance, the panel activation decision should made by UE. Among those active panels, gNB may select which one to use per transmission based on gNB’s knowledge, e.g. UL interference control, MPE mitigation, etc. </w:t>
      </w:r>
    </w:p>
    <w:p w14:paraId="7B14A148" w14:textId="6B3A4C90" w:rsidR="00D54CCB" w:rsidRPr="006C1A0F" w:rsidRDefault="00D54CCB" w:rsidP="00D54CCB">
      <w:pPr>
        <w:jc w:val="both"/>
        <w:rPr>
          <w:b/>
          <w:lang w:eastAsia="ja-JP"/>
        </w:rPr>
      </w:pPr>
      <w:bookmarkStart w:id="14" w:name="_Hlk68355669"/>
      <w:r w:rsidRPr="006C1A0F">
        <w:rPr>
          <w:b/>
          <w:u w:val="single"/>
          <w:lang w:eastAsia="ja-JP"/>
        </w:rPr>
        <w:t xml:space="preserve">Proposal </w:t>
      </w:r>
      <w:r w:rsidR="0083138C">
        <w:rPr>
          <w:b/>
          <w:u w:val="single"/>
          <w:lang w:eastAsia="ja-JP"/>
        </w:rPr>
        <w:t>2</w:t>
      </w:r>
      <w:r w:rsidR="00F92D8D">
        <w:rPr>
          <w:b/>
          <w:u w:val="single"/>
          <w:lang w:eastAsia="ja-JP"/>
        </w:rPr>
        <w:t>3</w:t>
      </w:r>
      <w:r w:rsidRPr="006C1A0F">
        <w:rPr>
          <w:b/>
          <w:lang w:eastAsia="ja-JP"/>
        </w:rPr>
        <w:t>: Final decision of UE panel activation should be made by UE.</w:t>
      </w:r>
    </w:p>
    <w:p w14:paraId="617C49FB" w14:textId="44671BDB" w:rsidR="00D54CCB" w:rsidRDefault="00D54CCB" w:rsidP="004A49B3">
      <w:pPr>
        <w:numPr>
          <w:ilvl w:val="0"/>
          <w:numId w:val="4"/>
        </w:numPr>
        <w:rPr>
          <w:rFonts w:eastAsia="Times New Roman"/>
          <w:b/>
        </w:rPr>
      </w:pPr>
      <w:r w:rsidRPr="006C1A0F">
        <w:rPr>
          <w:rFonts w:eastAsia="Times New Roman"/>
          <w:b/>
        </w:rPr>
        <w:t xml:space="preserve">Among active UE panels, gNB may select which one to use per transmission. </w:t>
      </w:r>
    </w:p>
    <w:bookmarkEnd w:id="14"/>
    <w:p w14:paraId="1E3BB511" w14:textId="2F6AE34E" w:rsidR="00E41601" w:rsidRPr="00E841D7" w:rsidRDefault="009322E7" w:rsidP="005B5780">
      <w:pPr>
        <w:jc w:val="both"/>
      </w:pPr>
      <w:r>
        <w:lastRenderedPageBreak/>
        <w:t>For the UL panel selection, gNB may need to know which UE panel</w:t>
      </w:r>
      <w:r w:rsidR="00AF70AA">
        <w:t>s</w:t>
      </w:r>
      <w:r>
        <w:t xml:space="preserve"> </w:t>
      </w:r>
      <w:r w:rsidR="00AF70AA">
        <w:t>are</w:t>
      </w:r>
      <w:r>
        <w:t xml:space="preserve"> active</w:t>
      </w:r>
      <w:r w:rsidR="00AF70AA">
        <w:t xml:space="preserve"> and </w:t>
      </w:r>
      <w:r w:rsidR="008F0CFB">
        <w:t xml:space="preserve">hence </w:t>
      </w:r>
      <w:r w:rsidR="00AF70AA">
        <w:t>select UL panel(s) among those active panels</w:t>
      </w:r>
      <w:r>
        <w:t xml:space="preserve">. </w:t>
      </w:r>
      <w:r w:rsidR="00AF70AA">
        <w:t xml:space="preserve">Therefore, it would be beneficial for UE to report the panel activation status, which may vary across time based on UE’s panel management, e.g. for power saving purpose. </w:t>
      </w:r>
      <w:r w:rsidR="00B610C2" w:rsidRPr="00B610C2">
        <w:t xml:space="preserve">In addition, to reduce the reporting overhead, UE can report the panel activation status common across a set of CCs, since the same UE panel is typically </w:t>
      </w:r>
      <w:r w:rsidR="00B610C2" w:rsidRPr="00E841D7">
        <w:t>shared by multiple CCs.</w:t>
      </w:r>
    </w:p>
    <w:p w14:paraId="3A2D2533" w14:textId="53156709" w:rsidR="00E41601" w:rsidRPr="00E841D7" w:rsidRDefault="00E41601" w:rsidP="00E41601">
      <w:pPr>
        <w:jc w:val="both"/>
        <w:rPr>
          <w:b/>
          <w:lang w:eastAsia="ja-JP"/>
        </w:rPr>
      </w:pPr>
      <w:r w:rsidRPr="00E841D7">
        <w:rPr>
          <w:b/>
          <w:u w:val="single"/>
          <w:lang w:eastAsia="ja-JP"/>
        </w:rPr>
        <w:t>Proposal</w:t>
      </w:r>
      <w:r w:rsidR="0083138C" w:rsidRPr="00E841D7">
        <w:rPr>
          <w:b/>
          <w:u w:val="single"/>
          <w:lang w:eastAsia="ja-JP"/>
        </w:rPr>
        <w:t xml:space="preserve"> 2</w:t>
      </w:r>
      <w:r w:rsidR="00F92D8D">
        <w:rPr>
          <w:b/>
          <w:u w:val="single"/>
          <w:lang w:eastAsia="ja-JP"/>
        </w:rPr>
        <w:t>4</w:t>
      </w:r>
      <w:r w:rsidRPr="00E841D7">
        <w:rPr>
          <w:b/>
          <w:lang w:eastAsia="ja-JP"/>
        </w:rPr>
        <w:t>: Support UE reporting of panel activation status.</w:t>
      </w:r>
    </w:p>
    <w:p w14:paraId="70F8F8E1" w14:textId="6EC5960F" w:rsidR="00E41601" w:rsidRPr="00E841D7" w:rsidRDefault="00E41601" w:rsidP="004A49B3">
      <w:pPr>
        <w:numPr>
          <w:ilvl w:val="0"/>
          <w:numId w:val="4"/>
        </w:numPr>
        <w:rPr>
          <w:rFonts w:eastAsia="Times New Roman"/>
          <w:b/>
        </w:rPr>
      </w:pPr>
      <w:r w:rsidRPr="00E841D7">
        <w:rPr>
          <w:rFonts w:eastAsia="Times New Roman"/>
          <w:b/>
        </w:rPr>
        <w:t xml:space="preserve">Reported panel activation status can be common across multiple CCs. </w:t>
      </w:r>
    </w:p>
    <w:p w14:paraId="13548CC3" w14:textId="3B111719" w:rsidR="00E41601" w:rsidRPr="00E841D7" w:rsidRDefault="007F2BA3" w:rsidP="005B5780">
      <w:pPr>
        <w:jc w:val="both"/>
      </w:pPr>
      <w:r w:rsidRPr="00E841D7">
        <w:t xml:space="preserve">In R15/16, SRS resources for CB based UL transmission have same number of ports. To support panel specific configuration, the CB based SRS resources may be configured to have different number of ports to match the different number of antenna ports across UE panels. </w:t>
      </w:r>
    </w:p>
    <w:p w14:paraId="7C6F0350" w14:textId="00A67744" w:rsidR="00EE1B87" w:rsidRPr="00E841D7" w:rsidRDefault="00EE1B87" w:rsidP="00EE1B87">
      <w:pPr>
        <w:jc w:val="both"/>
        <w:rPr>
          <w:b/>
          <w:lang w:eastAsia="ja-JP"/>
        </w:rPr>
      </w:pPr>
      <w:r w:rsidRPr="00E841D7">
        <w:rPr>
          <w:b/>
          <w:u w:val="single"/>
          <w:lang w:eastAsia="ja-JP"/>
        </w:rPr>
        <w:t>Proposal</w:t>
      </w:r>
      <w:r w:rsidR="004D1BEC" w:rsidRPr="00E841D7">
        <w:rPr>
          <w:b/>
          <w:u w:val="single"/>
          <w:lang w:eastAsia="ja-JP"/>
        </w:rPr>
        <w:t xml:space="preserve"> 2</w:t>
      </w:r>
      <w:r w:rsidR="00F92D8D">
        <w:rPr>
          <w:b/>
          <w:u w:val="single"/>
          <w:lang w:eastAsia="ja-JP"/>
        </w:rPr>
        <w:t>5</w:t>
      </w:r>
      <w:r w:rsidRPr="00E841D7">
        <w:rPr>
          <w:b/>
          <w:lang w:eastAsia="ja-JP"/>
        </w:rPr>
        <w:t>: Support CB based SRS resources with different numbers of ports.</w:t>
      </w:r>
    </w:p>
    <w:p w14:paraId="1EB22821" w14:textId="6015BA9B" w:rsidR="005B5780" w:rsidRPr="005B5780" w:rsidRDefault="005B5780" w:rsidP="005B5780">
      <w:pPr>
        <w:jc w:val="both"/>
      </w:pPr>
      <w:r w:rsidRPr="00E841D7">
        <w:t>To indicate the</w:t>
      </w:r>
      <w:r w:rsidRPr="006C1A0F">
        <w:t xml:space="preserve"> selected UE panel per UL transmission, both gNB and UE should be aligned on the mapping between the TCI state for UL transmission and the corresponding UE panel. The mapping can be semi-statically configured or dynamically indicated to UE per scheduled transmission. </w:t>
      </w:r>
      <w:r>
        <w:t xml:space="preserve">In addition, if the mapping is changed due to UE movement/rotation, UE should report the updated panel corresponding to a TCI state. </w:t>
      </w:r>
    </w:p>
    <w:p w14:paraId="462A4B6D" w14:textId="5BE35B2B" w:rsidR="00D54CCB" w:rsidRDefault="00D54CCB" w:rsidP="00D54CCB">
      <w:pPr>
        <w:jc w:val="both"/>
        <w:rPr>
          <w:b/>
          <w:lang w:val="en-US" w:eastAsia="ja-JP"/>
        </w:rPr>
      </w:pPr>
      <w:r w:rsidRPr="006C1A0F">
        <w:rPr>
          <w:b/>
          <w:u w:val="single"/>
          <w:lang w:val="en-US" w:eastAsia="ja-JP"/>
        </w:rPr>
        <w:t xml:space="preserve">Proposal </w:t>
      </w:r>
      <w:r w:rsidR="005B5780">
        <w:rPr>
          <w:b/>
          <w:u w:val="single"/>
          <w:lang w:val="en-US" w:eastAsia="ja-JP"/>
        </w:rPr>
        <w:t>2</w:t>
      </w:r>
      <w:r w:rsidR="00F92D8D">
        <w:rPr>
          <w:b/>
          <w:u w:val="single"/>
          <w:lang w:val="en-US" w:eastAsia="ja-JP"/>
        </w:rPr>
        <w:t>6</w:t>
      </w:r>
      <w:r w:rsidRPr="006C1A0F">
        <w:rPr>
          <w:b/>
          <w:lang w:val="en-US" w:eastAsia="ja-JP"/>
        </w:rPr>
        <w:t xml:space="preserve">: gNB and UE should be aligned on the mapping between TCI state and UE panel. </w:t>
      </w:r>
    </w:p>
    <w:p w14:paraId="5F9C66DE" w14:textId="5A6E1E0E" w:rsidR="00D54CCB" w:rsidRDefault="00D54CCB" w:rsidP="004A49B3">
      <w:pPr>
        <w:numPr>
          <w:ilvl w:val="0"/>
          <w:numId w:val="4"/>
        </w:numPr>
        <w:rPr>
          <w:rFonts w:eastAsia="Times New Roman"/>
          <w:b/>
        </w:rPr>
      </w:pPr>
      <w:r w:rsidRPr="00D60562">
        <w:rPr>
          <w:rFonts w:eastAsia="Times New Roman"/>
          <w:b/>
        </w:rPr>
        <w:t>UE can report the updated panel corresponding to a TCI state.</w:t>
      </w:r>
    </w:p>
    <w:p w14:paraId="01E861BE" w14:textId="55E1C2FD" w:rsidR="005B5780" w:rsidRPr="005B5780" w:rsidRDefault="005B5780" w:rsidP="005B5780">
      <w:pPr>
        <w:jc w:val="both"/>
      </w:pPr>
      <w:r w:rsidRPr="006C1A0F">
        <w:t xml:space="preserve">In R15/16, for a measured DL RS, UE only reports a single L1 metric corresponding to one UE panel. However, selecting which panel for UL transmission may not only depend on L1 metric. gNB may need to jointly consider other factors. For example, for the same TCI state, gNB may select the UE panel causing less UL interference to neighbour cells among candidate panels with similar L1 metrics. Therefore, for a measured DL RS, it would be beneficial for UE to report L1 metrics for multiple UE panels, among which gNB may select the one by jointly considering L1 metric and UL interference. </w:t>
      </w:r>
    </w:p>
    <w:p w14:paraId="0E233D6D" w14:textId="7F193F4B" w:rsidR="00D54CCB" w:rsidRPr="006C1A0F" w:rsidRDefault="00D54CCB" w:rsidP="00D54CCB">
      <w:pPr>
        <w:jc w:val="both"/>
        <w:rPr>
          <w:b/>
          <w:lang w:val="en-US" w:eastAsia="ja-JP"/>
        </w:rPr>
      </w:pPr>
      <w:r w:rsidRPr="006C1A0F">
        <w:rPr>
          <w:b/>
          <w:u w:val="single"/>
          <w:lang w:val="en-US" w:eastAsia="ja-JP"/>
        </w:rPr>
        <w:t>Proposal 2</w:t>
      </w:r>
      <w:r w:rsidR="00F92D8D">
        <w:rPr>
          <w:b/>
          <w:u w:val="single"/>
          <w:lang w:val="en-US" w:eastAsia="ja-JP"/>
        </w:rPr>
        <w:t>7</w:t>
      </w:r>
      <w:r w:rsidRPr="006C1A0F">
        <w:rPr>
          <w:b/>
          <w:lang w:val="en-US" w:eastAsia="ja-JP"/>
        </w:rPr>
        <w:t>: In the beam report for UL beam selection, for each reported DL RS, UE can report multiple L1 metrics measured on different panels for that DL RS.</w:t>
      </w:r>
    </w:p>
    <w:p w14:paraId="78F82BDA" w14:textId="77777777" w:rsidR="00D54CCB" w:rsidRDefault="00D54CCB" w:rsidP="004A49B3">
      <w:pPr>
        <w:numPr>
          <w:ilvl w:val="0"/>
          <w:numId w:val="4"/>
        </w:numPr>
        <w:rPr>
          <w:rFonts w:eastAsia="Times New Roman"/>
          <w:b/>
        </w:rPr>
      </w:pPr>
      <w:r w:rsidRPr="006C1A0F">
        <w:rPr>
          <w:rFonts w:eastAsia="Times New Roman"/>
          <w:b/>
        </w:rPr>
        <w:t xml:space="preserve">Among multiple reported panels for the same DL RS, gNB may select the one for UL transmission by jointly considering L1 metric and UL interference. </w:t>
      </w:r>
    </w:p>
    <w:p w14:paraId="04FCEB2B"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5 – UL Beam Selection Considering MPE</w:t>
      </w:r>
    </w:p>
    <w:p w14:paraId="54872188" w14:textId="78A353D1" w:rsidR="005B5780" w:rsidRDefault="00A525DA" w:rsidP="006C1A0F">
      <w:pPr>
        <w:jc w:val="both"/>
        <w:rPr>
          <w:rFonts w:eastAsia="PMingLiU"/>
          <w:lang w:val="en-US"/>
        </w:rPr>
      </w:pPr>
      <w:r>
        <w:rPr>
          <w:rFonts w:eastAsia="PMingLiU"/>
          <w:lang w:val="en-US"/>
        </w:rPr>
        <w:t xml:space="preserve">As for enhancement on P-MPR report, it would be beneficial to support the beam level P-MPR report, such that gNB can directly identify UL beam suffering MPE and corresponding candidate UL beam. For the panel level P-MPR report, gNB may still need to figure out the best UL beam on a candidate panel. On the reported metric, </w:t>
      </w:r>
      <w:r w:rsidR="00153091">
        <w:rPr>
          <w:rFonts w:eastAsia="PMingLiU"/>
          <w:lang w:val="en-US"/>
        </w:rPr>
        <w:t xml:space="preserve">the modified virtual PHR should be sufficient to reflect the UL performance, where the modification considers the actual P-MPR under the MPE requirement instead of 0 dB P-MPR in current spec. </w:t>
      </w:r>
    </w:p>
    <w:p w14:paraId="584CF2BE" w14:textId="00E7B1D5" w:rsidR="00A525DA" w:rsidRDefault="00A525DA" w:rsidP="00A525DA">
      <w:pPr>
        <w:jc w:val="both"/>
        <w:rPr>
          <w:b/>
          <w:lang w:eastAsia="ja-JP"/>
        </w:rPr>
      </w:pPr>
      <w:r w:rsidRPr="00393471">
        <w:rPr>
          <w:b/>
          <w:u w:val="single"/>
          <w:lang w:eastAsia="ja-JP"/>
        </w:rPr>
        <w:t>Proposal</w:t>
      </w:r>
      <w:r w:rsidR="00725366" w:rsidRPr="00393471">
        <w:rPr>
          <w:b/>
          <w:u w:val="single"/>
          <w:lang w:eastAsia="ja-JP"/>
        </w:rPr>
        <w:t xml:space="preserve"> 2</w:t>
      </w:r>
      <w:r w:rsidR="00476AD6">
        <w:rPr>
          <w:b/>
          <w:u w:val="single"/>
          <w:lang w:eastAsia="ja-JP"/>
        </w:rPr>
        <w:t>8</w:t>
      </w:r>
      <w:r w:rsidRPr="00393471">
        <w:rPr>
          <w:b/>
          <w:lang w:eastAsia="ja-JP"/>
        </w:rPr>
        <w:t>: Support beam</w:t>
      </w:r>
      <w:r>
        <w:rPr>
          <w:b/>
          <w:lang w:eastAsia="ja-JP"/>
        </w:rPr>
        <w:t xml:space="preserve"> level</w:t>
      </w:r>
      <w:r w:rsidRPr="00901F5E">
        <w:rPr>
          <w:b/>
          <w:lang w:eastAsia="ja-JP"/>
        </w:rPr>
        <w:t xml:space="preserve"> P-MPR </w:t>
      </w:r>
      <w:r>
        <w:rPr>
          <w:b/>
          <w:lang w:eastAsia="ja-JP"/>
        </w:rPr>
        <w:t>report</w:t>
      </w:r>
      <w:r w:rsidRPr="00901F5E">
        <w:rPr>
          <w:b/>
          <w:lang w:eastAsia="ja-JP"/>
        </w:rPr>
        <w:t xml:space="preserve"> </w:t>
      </w:r>
      <w:r>
        <w:rPr>
          <w:b/>
          <w:lang w:eastAsia="ja-JP"/>
        </w:rPr>
        <w:t>with modified v</w:t>
      </w:r>
      <w:r w:rsidRPr="00901F5E">
        <w:rPr>
          <w:b/>
          <w:lang w:eastAsia="ja-JP"/>
        </w:rPr>
        <w:t xml:space="preserve">irtual PHR </w:t>
      </w:r>
      <w:r>
        <w:rPr>
          <w:b/>
          <w:lang w:eastAsia="ja-JP"/>
        </w:rPr>
        <w:t>per reported</w:t>
      </w:r>
      <w:r w:rsidRPr="00901F5E">
        <w:rPr>
          <w:b/>
          <w:lang w:eastAsia="ja-JP"/>
        </w:rPr>
        <w:t xml:space="preserve"> </w:t>
      </w:r>
      <w:r>
        <w:rPr>
          <w:b/>
          <w:lang w:eastAsia="ja-JP"/>
        </w:rPr>
        <w:t>SSBRI/CRI.</w:t>
      </w:r>
    </w:p>
    <w:p w14:paraId="379B00D9" w14:textId="42F3C28B" w:rsidR="004E56B1" w:rsidRPr="00E87170" w:rsidRDefault="00A525DA" w:rsidP="004A49B3">
      <w:pPr>
        <w:numPr>
          <w:ilvl w:val="0"/>
          <w:numId w:val="4"/>
        </w:numPr>
        <w:rPr>
          <w:rFonts w:eastAsia="Times New Roman"/>
          <w:b/>
        </w:rPr>
      </w:pPr>
      <w:r w:rsidRPr="00901F5E">
        <w:rPr>
          <w:rFonts w:eastAsia="Times New Roman"/>
          <w:b/>
        </w:rPr>
        <w:t xml:space="preserve">The modified </w:t>
      </w:r>
      <w:r>
        <w:rPr>
          <w:rFonts w:eastAsia="Times New Roman"/>
          <w:b/>
        </w:rPr>
        <w:t xml:space="preserve">virtual </w:t>
      </w:r>
      <w:r w:rsidRPr="00901F5E">
        <w:rPr>
          <w:rFonts w:eastAsia="Times New Roman"/>
          <w:b/>
        </w:rPr>
        <w:t xml:space="preserve">PHR </w:t>
      </w:r>
      <w:r>
        <w:rPr>
          <w:rFonts w:eastAsia="Times New Roman"/>
          <w:b/>
        </w:rPr>
        <w:t>considers the</w:t>
      </w:r>
      <w:r w:rsidRPr="00901F5E">
        <w:rPr>
          <w:rFonts w:eastAsia="Times New Roman"/>
          <w:b/>
        </w:rPr>
        <w:t xml:space="preserve"> actual P-MPR</w:t>
      </w:r>
      <w:r w:rsidR="00500738">
        <w:rPr>
          <w:rFonts w:eastAsia="Times New Roman"/>
          <w:b/>
        </w:rPr>
        <w:t xml:space="preserve"> under the </w:t>
      </w:r>
      <w:r w:rsidRPr="00901F5E">
        <w:rPr>
          <w:rFonts w:eastAsia="Times New Roman"/>
          <w:b/>
        </w:rPr>
        <w:t>MPE</w:t>
      </w:r>
      <w:r w:rsidR="00500738">
        <w:rPr>
          <w:rFonts w:eastAsia="Times New Roman"/>
          <w:b/>
        </w:rPr>
        <w:t xml:space="preserve"> requirement</w:t>
      </w:r>
      <w:r w:rsidRPr="00901F5E">
        <w:rPr>
          <w:rFonts w:eastAsia="Times New Roman"/>
          <w:b/>
        </w:rPr>
        <w:t>.</w:t>
      </w:r>
    </w:p>
    <w:p w14:paraId="130E24F8" w14:textId="0D9A1106" w:rsidR="00216F4B" w:rsidRDefault="000803D5" w:rsidP="00A525DA">
      <w:pPr>
        <w:jc w:val="both"/>
        <w:rPr>
          <w:rFonts w:eastAsia="PMingLiU"/>
          <w:lang w:val="en-US"/>
        </w:rPr>
      </w:pPr>
      <w:r>
        <w:rPr>
          <w:rFonts w:eastAsia="PMingLiU"/>
          <w:lang w:val="en-US"/>
        </w:rPr>
        <w:t xml:space="preserve">For event triggered P-MPR report, the failed UL beam can be quickly recovered by resetting the UL beam to the new one in the report after UE receives gNB’s response to the report. For example, UE can send the P-MPR report via MAC-CE on the PCell in FR1 and, after receiving the gNB’s response on PCell, both sides </w:t>
      </w:r>
      <w:r w:rsidR="00FA59FC">
        <w:rPr>
          <w:rFonts w:eastAsia="PMingLiU"/>
          <w:lang w:val="en-US"/>
        </w:rPr>
        <w:t>will</w:t>
      </w:r>
      <w:r>
        <w:rPr>
          <w:rFonts w:eastAsia="PMingLiU"/>
          <w:lang w:val="en-US"/>
        </w:rPr>
        <w:t xml:space="preserve"> reset the UL beam on the SCell suffering from the MPE issue in FR2. </w:t>
      </w:r>
    </w:p>
    <w:p w14:paraId="239D170A" w14:textId="0FAF8C17" w:rsidR="00801FCB" w:rsidRPr="00453F13" w:rsidRDefault="00801FCB" w:rsidP="00A525DA">
      <w:pPr>
        <w:jc w:val="both"/>
        <w:rPr>
          <w:b/>
          <w:lang w:eastAsia="ja-JP"/>
        </w:rPr>
      </w:pPr>
      <w:r w:rsidRPr="00453F13">
        <w:rPr>
          <w:b/>
          <w:u w:val="single"/>
          <w:lang w:eastAsia="ja-JP"/>
        </w:rPr>
        <w:t xml:space="preserve">Proposal </w:t>
      </w:r>
      <w:r w:rsidR="00FA59FC" w:rsidRPr="00453F13">
        <w:rPr>
          <w:b/>
          <w:u w:val="single"/>
          <w:lang w:eastAsia="ja-JP"/>
        </w:rPr>
        <w:t>2</w:t>
      </w:r>
      <w:r w:rsidR="00476AD6">
        <w:rPr>
          <w:b/>
          <w:u w:val="single"/>
          <w:lang w:eastAsia="ja-JP"/>
        </w:rPr>
        <w:t>9</w:t>
      </w:r>
      <w:r w:rsidRPr="00453F13">
        <w:rPr>
          <w:b/>
          <w:lang w:eastAsia="ja-JP"/>
        </w:rPr>
        <w:t>: Support UL beam resetting based on reported new UL beam in UE triggered P-MPR report, after UE receives gNB’s response to the report.</w:t>
      </w:r>
    </w:p>
    <w:p w14:paraId="6AEC39F1" w14:textId="311F523C" w:rsidR="00216F4B" w:rsidRPr="00453F13" w:rsidRDefault="00E322E4" w:rsidP="00216F4B">
      <w:pPr>
        <w:jc w:val="both"/>
        <w:rPr>
          <w:rFonts w:eastAsia="PMingLiU"/>
          <w:lang w:val="en-US"/>
        </w:rPr>
      </w:pPr>
      <w:r w:rsidRPr="00453F13">
        <w:rPr>
          <w:rFonts w:eastAsia="PMingLiU"/>
          <w:lang w:val="en-US"/>
        </w:rPr>
        <w:lastRenderedPageBreak/>
        <w:t>For regular beam report scheduled by gNB, modified RSRP is agreed as a potential metric per reported UL beam. To reflect the general UL performance including both UL Tx power backoff and channel quality, the modified RSRP can be defined as the maximum allowed UL Tx power under MPE constraint minus the</w:t>
      </w:r>
      <w:r w:rsidR="00BD4F8C" w:rsidRPr="00453F13">
        <w:rPr>
          <w:rFonts w:eastAsia="PMingLiU"/>
          <w:lang w:val="en-US"/>
        </w:rPr>
        <w:t xml:space="preserve"> </w:t>
      </w:r>
      <w:r w:rsidRPr="00453F13">
        <w:rPr>
          <w:rFonts w:eastAsia="PMingLiU"/>
          <w:lang w:val="en-US"/>
        </w:rPr>
        <w:t xml:space="preserve">path loss, which can be </w:t>
      </w:r>
      <w:r w:rsidR="00BD4F8C" w:rsidRPr="00453F13">
        <w:rPr>
          <w:rFonts w:eastAsia="PMingLiU"/>
          <w:lang w:val="en-US"/>
        </w:rPr>
        <w:t xml:space="preserve">estimated </w:t>
      </w:r>
      <w:r w:rsidRPr="00453F13">
        <w:rPr>
          <w:rFonts w:eastAsia="PMingLiU"/>
          <w:lang w:val="en-US"/>
        </w:rPr>
        <w:t xml:space="preserve">based on the measured RSRP and the Tx power of the DL RS for UL beam indication. </w:t>
      </w:r>
    </w:p>
    <w:p w14:paraId="0377BB28" w14:textId="57291E90" w:rsidR="00216F4B" w:rsidRPr="00453F13" w:rsidRDefault="00216F4B" w:rsidP="00216F4B">
      <w:pPr>
        <w:jc w:val="both"/>
        <w:rPr>
          <w:b/>
          <w:lang w:eastAsia="ja-JP"/>
        </w:rPr>
      </w:pPr>
      <w:bookmarkStart w:id="15" w:name="_Hlk71210222"/>
      <w:r w:rsidRPr="00453F13">
        <w:rPr>
          <w:b/>
          <w:u w:val="single"/>
          <w:lang w:eastAsia="ja-JP"/>
        </w:rPr>
        <w:t xml:space="preserve">Proposal </w:t>
      </w:r>
      <w:r w:rsidR="00476AD6">
        <w:rPr>
          <w:b/>
          <w:u w:val="single"/>
          <w:lang w:eastAsia="ja-JP"/>
        </w:rPr>
        <w:t>30</w:t>
      </w:r>
      <w:r w:rsidRPr="00453F13">
        <w:rPr>
          <w:b/>
          <w:lang w:eastAsia="ja-JP"/>
        </w:rPr>
        <w:t xml:space="preserve">: For </w:t>
      </w:r>
      <w:r w:rsidR="006A5A8E" w:rsidRPr="00453F13">
        <w:rPr>
          <w:b/>
          <w:lang w:eastAsia="ja-JP"/>
        </w:rPr>
        <w:t>gNB scheduled</w:t>
      </w:r>
      <w:r w:rsidRPr="00453F13">
        <w:rPr>
          <w:b/>
          <w:lang w:eastAsia="ja-JP"/>
        </w:rPr>
        <w:t xml:space="preserve"> report with separate preferred DL/UL beams, support report of UL RSRP per reported SSBRI/CRI for UL beam.</w:t>
      </w:r>
    </w:p>
    <w:p w14:paraId="280B84A9" w14:textId="0F0E7CAA" w:rsidR="00FD0BBA" w:rsidRPr="00453F13" w:rsidRDefault="006A5A8E" w:rsidP="004A49B3">
      <w:pPr>
        <w:numPr>
          <w:ilvl w:val="0"/>
          <w:numId w:val="4"/>
        </w:numPr>
        <w:rPr>
          <w:rFonts w:eastAsia="Times New Roman"/>
          <w:b/>
        </w:rPr>
      </w:pPr>
      <w:r w:rsidRPr="00453F13">
        <w:rPr>
          <w:rFonts w:eastAsia="Times New Roman"/>
          <w:b/>
        </w:rPr>
        <w:t xml:space="preserve">Where </w:t>
      </w:r>
      <w:r w:rsidR="00216F4B" w:rsidRPr="00453F13">
        <w:rPr>
          <w:rFonts w:eastAsia="Times New Roman"/>
          <w:b/>
        </w:rPr>
        <w:t xml:space="preserve">UL RSRP = UL max Tx power under MPE – </w:t>
      </w:r>
      <w:r w:rsidR="00842371" w:rsidRPr="00453F13">
        <w:rPr>
          <w:rFonts w:eastAsia="Times New Roman"/>
          <w:b/>
        </w:rPr>
        <w:t>Estimated path loss</w:t>
      </w:r>
      <w:r w:rsidR="00216F4B" w:rsidRPr="00453F13">
        <w:rPr>
          <w:rFonts w:eastAsia="Times New Roman"/>
          <w:b/>
        </w:rPr>
        <w:t>.</w:t>
      </w:r>
    </w:p>
    <w:bookmarkEnd w:id="15"/>
    <w:p w14:paraId="5CED1D56" w14:textId="796D7EBC" w:rsidR="00FD0BBA" w:rsidRPr="00453F13" w:rsidRDefault="007F63EB" w:rsidP="00FD0BBA">
      <w:pPr>
        <w:jc w:val="both"/>
        <w:rPr>
          <w:rFonts w:eastAsia="PMingLiU"/>
          <w:lang w:val="en-US"/>
        </w:rPr>
      </w:pPr>
      <w:r w:rsidRPr="00453F13">
        <w:rPr>
          <w:rFonts w:eastAsia="PMingLiU"/>
          <w:lang w:val="en-US"/>
        </w:rPr>
        <w:t xml:space="preserve">Similar to </w:t>
      </w:r>
      <w:r w:rsidR="00FA59FC" w:rsidRPr="00453F13">
        <w:rPr>
          <w:rFonts w:eastAsia="PMingLiU"/>
          <w:lang w:val="en-US"/>
        </w:rPr>
        <w:t xml:space="preserve">the </w:t>
      </w:r>
      <w:r w:rsidRPr="00453F13">
        <w:rPr>
          <w:rFonts w:eastAsia="PMingLiU"/>
          <w:lang w:val="en-US"/>
        </w:rPr>
        <w:t>existing DL beam report, differential report can be considered to reduce reporting overhead when multiple UL beams are reported in the same report</w:t>
      </w:r>
      <w:r w:rsidR="00EB6C9F" w:rsidRPr="00453F13">
        <w:rPr>
          <w:rFonts w:eastAsia="PMingLiU"/>
          <w:lang w:val="en-US"/>
        </w:rPr>
        <w:t>ing instance</w:t>
      </w:r>
      <w:r w:rsidRPr="00453F13">
        <w:rPr>
          <w:rFonts w:eastAsia="PMingLiU"/>
          <w:lang w:val="en-US"/>
        </w:rPr>
        <w:t xml:space="preserve">. </w:t>
      </w:r>
    </w:p>
    <w:p w14:paraId="0F8B5332" w14:textId="088260B1" w:rsidR="00FD0BBA" w:rsidRDefault="00FD0BBA" w:rsidP="00FD0BBA">
      <w:pPr>
        <w:jc w:val="both"/>
        <w:rPr>
          <w:b/>
          <w:lang w:eastAsia="ja-JP"/>
        </w:rPr>
      </w:pPr>
      <w:r w:rsidRPr="00453F13">
        <w:rPr>
          <w:b/>
          <w:u w:val="single"/>
          <w:lang w:eastAsia="ja-JP"/>
        </w:rPr>
        <w:t xml:space="preserve">Proposal </w:t>
      </w:r>
      <w:r w:rsidR="00476AD6">
        <w:rPr>
          <w:b/>
          <w:u w:val="single"/>
          <w:lang w:eastAsia="ja-JP"/>
        </w:rPr>
        <w:t>31</w:t>
      </w:r>
      <w:r w:rsidRPr="00453F13">
        <w:rPr>
          <w:b/>
          <w:lang w:eastAsia="ja-JP"/>
        </w:rPr>
        <w:t>: Support differential report when multiple UL beams are reported in the</w:t>
      </w:r>
      <w:r>
        <w:rPr>
          <w:b/>
          <w:lang w:eastAsia="ja-JP"/>
        </w:rPr>
        <w:t xml:space="preserve"> same reporting instance.</w:t>
      </w:r>
    </w:p>
    <w:p w14:paraId="3CC5C8A9" w14:textId="6FF1EA9D" w:rsidR="00850D53" w:rsidRPr="006C1A0F" w:rsidRDefault="006C1A0F" w:rsidP="006C1A0F">
      <w:pPr>
        <w:jc w:val="both"/>
      </w:pPr>
      <w:r w:rsidRPr="006C1A0F">
        <w:t xml:space="preserve">The performance of MPE is investigated next. The assumptions for dense urban outdoor scenario are based on the agreement in Table 3 of [1]. Additional details are listed below for calibration purpose.  </w:t>
      </w:r>
    </w:p>
    <w:tbl>
      <w:tblPr>
        <w:tblStyle w:val="TableGrid"/>
        <w:tblW w:w="0" w:type="auto"/>
        <w:jc w:val="center"/>
        <w:tblLook w:val="04A0" w:firstRow="1" w:lastRow="0" w:firstColumn="1" w:lastColumn="0" w:noHBand="0" w:noVBand="1"/>
      </w:tblPr>
      <w:tblGrid>
        <w:gridCol w:w="2425"/>
        <w:gridCol w:w="2340"/>
        <w:gridCol w:w="2362"/>
        <w:gridCol w:w="2223"/>
      </w:tblGrid>
      <w:tr w:rsidR="006C1A0F" w:rsidRPr="006C1A0F" w14:paraId="746AFC31" w14:textId="77777777" w:rsidTr="00016B19">
        <w:trPr>
          <w:jc w:val="center"/>
        </w:trPr>
        <w:tc>
          <w:tcPr>
            <w:tcW w:w="2425" w:type="dxa"/>
            <w:tcBorders>
              <w:top w:val="single" w:sz="4" w:space="0" w:color="auto"/>
              <w:left w:val="single" w:sz="4" w:space="0" w:color="auto"/>
              <w:bottom w:val="single" w:sz="4" w:space="0" w:color="auto"/>
              <w:right w:val="nil"/>
            </w:tcBorders>
          </w:tcPr>
          <w:p w14:paraId="3F634A5A" w14:textId="77777777" w:rsidR="006C1A0F" w:rsidRPr="006C1A0F" w:rsidRDefault="006C1A0F" w:rsidP="006C1A0F">
            <w:pPr>
              <w:spacing w:after="160" w:line="259" w:lineRule="auto"/>
              <w:rPr>
                <w:rFonts w:eastAsia="Batang"/>
                <w:b/>
              </w:rPr>
            </w:pPr>
            <w:r w:rsidRPr="006C1A0F">
              <w:rPr>
                <w:rFonts w:eastAsia="Batang"/>
                <w:b/>
              </w:rPr>
              <w:t>Parameter Name</w:t>
            </w:r>
          </w:p>
        </w:tc>
        <w:tc>
          <w:tcPr>
            <w:tcW w:w="2340" w:type="dxa"/>
            <w:tcBorders>
              <w:top w:val="single" w:sz="4" w:space="0" w:color="auto"/>
              <w:left w:val="nil"/>
              <w:bottom w:val="single" w:sz="4" w:space="0" w:color="auto"/>
              <w:right w:val="single" w:sz="4" w:space="0" w:color="auto"/>
            </w:tcBorders>
          </w:tcPr>
          <w:p w14:paraId="5F282607" w14:textId="77777777" w:rsidR="006C1A0F" w:rsidRPr="006C1A0F" w:rsidRDefault="006C1A0F" w:rsidP="006C1A0F">
            <w:pPr>
              <w:spacing w:after="160" w:line="259" w:lineRule="auto"/>
              <w:rPr>
                <w:rFonts w:eastAsia="Batang"/>
                <w:b/>
              </w:rPr>
            </w:pPr>
            <w:r w:rsidRPr="006C1A0F">
              <w:rPr>
                <w:rFonts w:eastAsia="Batang"/>
                <w:b/>
              </w:rPr>
              <w:t>Value</w:t>
            </w:r>
          </w:p>
        </w:tc>
        <w:tc>
          <w:tcPr>
            <w:tcW w:w="2362" w:type="dxa"/>
            <w:tcBorders>
              <w:top w:val="single" w:sz="4" w:space="0" w:color="auto"/>
              <w:left w:val="single" w:sz="4" w:space="0" w:color="auto"/>
              <w:bottom w:val="single" w:sz="4" w:space="0" w:color="auto"/>
              <w:right w:val="nil"/>
            </w:tcBorders>
          </w:tcPr>
          <w:p w14:paraId="2247B163" w14:textId="77777777" w:rsidR="006C1A0F" w:rsidRPr="006C1A0F" w:rsidRDefault="006C1A0F" w:rsidP="006C1A0F">
            <w:pPr>
              <w:spacing w:after="160" w:line="259" w:lineRule="auto"/>
              <w:rPr>
                <w:rFonts w:eastAsia="Batang"/>
                <w:b/>
              </w:rPr>
            </w:pPr>
            <w:r w:rsidRPr="006C1A0F">
              <w:rPr>
                <w:rFonts w:eastAsia="Batang"/>
                <w:b/>
              </w:rPr>
              <w:t>Parameter</w:t>
            </w:r>
          </w:p>
        </w:tc>
        <w:tc>
          <w:tcPr>
            <w:tcW w:w="2223" w:type="dxa"/>
            <w:tcBorders>
              <w:top w:val="single" w:sz="4" w:space="0" w:color="auto"/>
              <w:left w:val="nil"/>
              <w:bottom w:val="single" w:sz="4" w:space="0" w:color="auto"/>
              <w:right w:val="single" w:sz="4" w:space="0" w:color="auto"/>
            </w:tcBorders>
          </w:tcPr>
          <w:p w14:paraId="336CEA73" w14:textId="77777777" w:rsidR="006C1A0F" w:rsidRPr="006C1A0F" w:rsidRDefault="006C1A0F" w:rsidP="006C1A0F">
            <w:pPr>
              <w:spacing w:after="160" w:line="259" w:lineRule="auto"/>
              <w:rPr>
                <w:rFonts w:eastAsia="Batang"/>
                <w:b/>
              </w:rPr>
            </w:pPr>
            <w:r w:rsidRPr="006C1A0F">
              <w:rPr>
                <w:rFonts w:eastAsia="Batang"/>
                <w:b/>
              </w:rPr>
              <w:t>Value</w:t>
            </w:r>
          </w:p>
        </w:tc>
      </w:tr>
      <w:tr w:rsidR="006C1A0F" w:rsidRPr="006C1A0F" w14:paraId="73093298" w14:textId="77777777" w:rsidTr="00016B19">
        <w:trPr>
          <w:jc w:val="center"/>
        </w:trPr>
        <w:tc>
          <w:tcPr>
            <w:tcW w:w="2425" w:type="dxa"/>
            <w:tcBorders>
              <w:top w:val="single" w:sz="4" w:space="0" w:color="auto"/>
              <w:left w:val="single" w:sz="4" w:space="0" w:color="auto"/>
              <w:bottom w:val="single" w:sz="4" w:space="0" w:color="auto"/>
              <w:right w:val="nil"/>
            </w:tcBorders>
          </w:tcPr>
          <w:p w14:paraId="4759C967" w14:textId="77777777" w:rsidR="006C1A0F" w:rsidRPr="006C1A0F" w:rsidRDefault="006C1A0F" w:rsidP="006C1A0F">
            <w:pPr>
              <w:spacing w:after="160" w:line="259" w:lineRule="auto"/>
              <w:rPr>
                <w:rFonts w:eastAsia="Batang"/>
                <w:bCs/>
              </w:rPr>
            </w:pPr>
            <w:r w:rsidRPr="006C1A0F">
              <w:rPr>
                <w:rFonts w:eastAsia="Batang"/>
                <w:bCs/>
              </w:rPr>
              <w:t xml:space="preserve">Channel Model </w:t>
            </w:r>
          </w:p>
        </w:tc>
        <w:tc>
          <w:tcPr>
            <w:tcW w:w="2340" w:type="dxa"/>
            <w:tcBorders>
              <w:top w:val="single" w:sz="4" w:space="0" w:color="auto"/>
              <w:left w:val="nil"/>
              <w:bottom w:val="single" w:sz="4" w:space="0" w:color="auto"/>
              <w:right w:val="single" w:sz="4" w:space="0" w:color="auto"/>
            </w:tcBorders>
          </w:tcPr>
          <w:p w14:paraId="5A9059F2" w14:textId="77777777" w:rsidR="006C1A0F" w:rsidRPr="006C1A0F" w:rsidRDefault="006C1A0F" w:rsidP="006C1A0F">
            <w:pPr>
              <w:spacing w:after="160" w:line="259" w:lineRule="auto"/>
              <w:rPr>
                <w:rFonts w:eastAsia="Batang"/>
                <w:bCs/>
              </w:rPr>
            </w:pPr>
            <w:r w:rsidRPr="006C1A0F">
              <w:rPr>
                <w:rFonts w:eastAsia="Batang"/>
                <w:bCs/>
              </w:rPr>
              <w:t>UMI with ISD 200 m</w:t>
            </w:r>
          </w:p>
        </w:tc>
        <w:tc>
          <w:tcPr>
            <w:tcW w:w="2362" w:type="dxa"/>
            <w:tcBorders>
              <w:top w:val="single" w:sz="4" w:space="0" w:color="auto"/>
              <w:left w:val="single" w:sz="4" w:space="0" w:color="auto"/>
              <w:bottom w:val="single" w:sz="4" w:space="0" w:color="auto"/>
              <w:right w:val="nil"/>
            </w:tcBorders>
          </w:tcPr>
          <w:p w14:paraId="6ED77779" w14:textId="77777777" w:rsidR="006C1A0F" w:rsidRPr="006C1A0F" w:rsidRDefault="006C1A0F" w:rsidP="006C1A0F">
            <w:pPr>
              <w:spacing w:after="160" w:line="259" w:lineRule="auto"/>
              <w:rPr>
                <w:rFonts w:eastAsia="Batang"/>
                <w:bCs/>
              </w:rPr>
            </w:pPr>
            <w:r w:rsidRPr="006C1A0F">
              <w:rPr>
                <w:rFonts w:eastAsia="Batang"/>
                <w:bCs/>
              </w:rPr>
              <w:t>gNB element # per sector</w:t>
            </w:r>
          </w:p>
        </w:tc>
        <w:tc>
          <w:tcPr>
            <w:tcW w:w="2223" w:type="dxa"/>
            <w:tcBorders>
              <w:top w:val="single" w:sz="4" w:space="0" w:color="auto"/>
              <w:left w:val="nil"/>
              <w:bottom w:val="single" w:sz="4" w:space="0" w:color="auto"/>
              <w:right w:val="single" w:sz="4" w:space="0" w:color="auto"/>
            </w:tcBorders>
          </w:tcPr>
          <w:p w14:paraId="5B0F3FA3" w14:textId="77777777" w:rsidR="006C1A0F" w:rsidRPr="006C1A0F" w:rsidRDefault="006C1A0F" w:rsidP="006C1A0F">
            <w:pPr>
              <w:spacing w:after="160" w:line="259" w:lineRule="auto"/>
              <w:rPr>
                <w:rFonts w:eastAsia="Batang"/>
                <w:bCs/>
              </w:rPr>
            </w:pPr>
            <w:r w:rsidRPr="006C1A0F">
              <w:rPr>
                <w:rFonts w:eastAsia="Batang"/>
                <w:bCs/>
              </w:rPr>
              <w:t>256</w:t>
            </w:r>
          </w:p>
        </w:tc>
      </w:tr>
      <w:tr w:rsidR="006C1A0F" w:rsidRPr="006C1A0F" w14:paraId="78C7F74C" w14:textId="77777777" w:rsidTr="00016B19">
        <w:trPr>
          <w:jc w:val="center"/>
        </w:trPr>
        <w:tc>
          <w:tcPr>
            <w:tcW w:w="2425" w:type="dxa"/>
            <w:tcBorders>
              <w:top w:val="single" w:sz="4" w:space="0" w:color="auto"/>
              <w:left w:val="single" w:sz="4" w:space="0" w:color="auto"/>
              <w:bottom w:val="single" w:sz="4" w:space="0" w:color="auto"/>
              <w:right w:val="nil"/>
            </w:tcBorders>
          </w:tcPr>
          <w:p w14:paraId="42E6DE04" w14:textId="77777777" w:rsidR="006C1A0F" w:rsidRPr="006C1A0F" w:rsidRDefault="006C1A0F" w:rsidP="006C1A0F">
            <w:pPr>
              <w:spacing w:after="160" w:line="259" w:lineRule="auto"/>
              <w:rPr>
                <w:rFonts w:eastAsia="Batang"/>
                <w:bCs/>
              </w:rPr>
            </w:pPr>
            <w:r w:rsidRPr="006C1A0F">
              <w:rPr>
                <w:rFonts w:eastAsia="Batang"/>
                <w:bCs/>
              </w:rPr>
              <w:t>Max UE Tx power</w:t>
            </w:r>
          </w:p>
        </w:tc>
        <w:tc>
          <w:tcPr>
            <w:tcW w:w="2340" w:type="dxa"/>
            <w:tcBorders>
              <w:top w:val="single" w:sz="4" w:space="0" w:color="auto"/>
              <w:left w:val="nil"/>
              <w:bottom w:val="single" w:sz="4" w:space="0" w:color="auto"/>
              <w:right w:val="single" w:sz="4" w:space="0" w:color="auto"/>
            </w:tcBorders>
          </w:tcPr>
          <w:p w14:paraId="2DE00F67" w14:textId="77777777" w:rsidR="006C1A0F" w:rsidRPr="006C1A0F" w:rsidRDefault="006C1A0F" w:rsidP="006C1A0F">
            <w:pPr>
              <w:spacing w:after="160" w:line="259" w:lineRule="auto"/>
              <w:rPr>
                <w:rFonts w:eastAsia="Batang"/>
                <w:bCs/>
              </w:rPr>
            </w:pPr>
            <w:r w:rsidRPr="006C1A0F">
              <w:rPr>
                <w:rFonts w:eastAsia="Batang"/>
                <w:bCs/>
              </w:rPr>
              <w:t>23 dBm</w:t>
            </w:r>
          </w:p>
        </w:tc>
        <w:tc>
          <w:tcPr>
            <w:tcW w:w="2362" w:type="dxa"/>
            <w:tcBorders>
              <w:top w:val="single" w:sz="4" w:space="0" w:color="auto"/>
              <w:left w:val="single" w:sz="4" w:space="0" w:color="auto"/>
              <w:bottom w:val="single" w:sz="4" w:space="0" w:color="auto"/>
              <w:right w:val="nil"/>
            </w:tcBorders>
          </w:tcPr>
          <w:p w14:paraId="07BBB4FE" w14:textId="77777777" w:rsidR="006C1A0F" w:rsidRPr="006C1A0F" w:rsidRDefault="006C1A0F" w:rsidP="006C1A0F">
            <w:pPr>
              <w:spacing w:after="160" w:line="259" w:lineRule="auto"/>
              <w:rPr>
                <w:rFonts w:eastAsia="Batang"/>
                <w:bCs/>
              </w:rPr>
            </w:pPr>
            <w:r w:rsidRPr="006C1A0F">
              <w:rPr>
                <w:rFonts w:eastAsia="Batang"/>
              </w:rPr>
              <w:t>gNB antenna element gain</w:t>
            </w:r>
          </w:p>
        </w:tc>
        <w:tc>
          <w:tcPr>
            <w:tcW w:w="2223" w:type="dxa"/>
            <w:tcBorders>
              <w:top w:val="single" w:sz="4" w:space="0" w:color="auto"/>
              <w:left w:val="nil"/>
              <w:bottom w:val="single" w:sz="4" w:space="0" w:color="auto"/>
              <w:right w:val="single" w:sz="4" w:space="0" w:color="auto"/>
            </w:tcBorders>
          </w:tcPr>
          <w:p w14:paraId="471B2E31" w14:textId="77777777" w:rsidR="006C1A0F" w:rsidRPr="006C1A0F" w:rsidRDefault="006C1A0F" w:rsidP="006C1A0F">
            <w:pPr>
              <w:spacing w:after="160" w:line="259" w:lineRule="auto"/>
              <w:rPr>
                <w:rFonts w:eastAsia="Batang"/>
                <w:bCs/>
              </w:rPr>
            </w:pPr>
            <w:r w:rsidRPr="006C1A0F">
              <w:rPr>
                <w:rFonts w:eastAsia="Batang"/>
              </w:rPr>
              <w:t>8 dBi</w:t>
            </w:r>
          </w:p>
        </w:tc>
      </w:tr>
      <w:tr w:rsidR="006C1A0F" w:rsidRPr="006C1A0F" w14:paraId="30CAC77C" w14:textId="77777777" w:rsidTr="00016B19">
        <w:trPr>
          <w:jc w:val="center"/>
        </w:trPr>
        <w:tc>
          <w:tcPr>
            <w:tcW w:w="2425" w:type="dxa"/>
            <w:tcBorders>
              <w:top w:val="single" w:sz="4" w:space="0" w:color="auto"/>
              <w:left w:val="single" w:sz="4" w:space="0" w:color="auto"/>
              <w:bottom w:val="single" w:sz="4" w:space="0" w:color="auto"/>
              <w:right w:val="nil"/>
            </w:tcBorders>
          </w:tcPr>
          <w:p w14:paraId="2A671539" w14:textId="77777777" w:rsidR="006C1A0F" w:rsidRPr="006C1A0F" w:rsidRDefault="006C1A0F" w:rsidP="006C1A0F">
            <w:pPr>
              <w:spacing w:after="160" w:line="259" w:lineRule="auto"/>
              <w:rPr>
                <w:rFonts w:eastAsia="Batang"/>
                <w:bCs/>
              </w:rPr>
            </w:pPr>
            <w:r w:rsidRPr="006C1A0F">
              <w:rPr>
                <w:rFonts w:eastAsia="Batang"/>
                <w:bCs/>
              </w:rPr>
              <w:t>UE antenna element gain</w:t>
            </w:r>
          </w:p>
        </w:tc>
        <w:tc>
          <w:tcPr>
            <w:tcW w:w="2340" w:type="dxa"/>
            <w:tcBorders>
              <w:top w:val="single" w:sz="4" w:space="0" w:color="auto"/>
              <w:left w:val="nil"/>
              <w:bottom w:val="single" w:sz="4" w:space="0" w:color="auto"/>
              <w:right w:val="single" w:sz="4" w:space="0" w:color="auto"/>
            </w:tcBorders>
          </w:tcPr>
          <w:p w14:paraId="4FA5F3DD" w14:textId="77777777" w:rsidR="006C1A0F" w:rsidRPr="006C1A0F" w:rsidRDefault="006C1A0F" w:rsidP="006C1A0F">
            <w:pPr>
              <w:spacing w:after="160" w:line="259" w:lineRule="auto"/>
              <w:rPr>
                <w:rFonts w:eastAsia="Batang"/>
                <w:bCs/>
              </w:rPr>
            </w:pPr>
            <w:r w:rsidRPr="006C1A0F">
              <w:rPr>
                <w:rFonts w:eastAsia="Batang"/>
                <w:bCs/>
              </w:rPr>
              <w:t>5 dBi</w:t>
            </w:r>
          </w:p>
        </w:tc>
        <w:tc>
          <w:tcPr>
            <w:tcW w:w="2362" w:type="dxa"/>
            <w:tcBorders>
              <w:top w:val="single" w:sz="4" w:space="0" w:color="auto"/>
              <w:left w:val="single" w:sz="4" w:space="0" w:color="auto"/>
              <w:bottom w:val="single" w:sz="4" w:space="0" w:color="auto"/>
              <w:right w:val="nil"/>
            </w:tcBorders>
          </w:tcPr>
          <w:p w14:paraId="2C893C0E" w14:textId="77777777" w:rsidR="006C1A0F" w:rsidRPr="006C1A0F" w:rsidRDefault="006C1A0F" w:rsidP="006C1A0F">
            <w:pPr>
              <w:spacing w:after="160" w:line="259" w:lineRule="auto"/>
              <w:rPr>
                <w:rFonts w:eastAsia="Batang"/>
                <w:bCs/>
              </w:rPr>
            </w:pPr>
            <w:r w:rsidRPr="006C1A0F">
              <w:rPr>
                <w:rFonts w:eastAsia="Batang"/>
              </w:rPr>
              <w:t>Blocked UE panel</w:t>
            </w:r>
          </w:p>
        </w:tc>
        <w:tc>
          <w:tcPr>
            <w:tcW w:w="2223" w:type="dxa"/>
            <w:tcBorders>
              <w:top w:val="single" w:sz="4" w:space="0" w:color="auto"/>
              <w:left w:val="nil"/>
              <w:bottom w:val="single" w:sz="4" w:space="0" w:color="auto"/>
              <w:right w:val="single" w:sz="4" w:space="0" w:color="auto"/>
            </w:tcBorders>
          </w:tcPr>
          <w:p w14:paraId="27D1A59A" w14:textId="77777777" w:rsidR="006C1A0F" w:rsidRPr="006C1A0F" w:rsidRDefault="006C1A0F" w:rsidP="006C1A0F">
            <w:pPr>
              <w:spacing w:after="160" w:line="259" w:lineRule="auto"/>
              <w:rPr>
                <w:rFonts w:eastAsia="Batang"/>
                <w:bCs/>
              </w:rPr>
            </w:pPr>
            <w:r w:rsidRPr="006C1A0F">
              <w:rPr>
                <w:rFonts w:eastAsia="Batang"/>
              </w:rPr>
              <w:t>Random one at sim start</w:t>
            </w:r>
          </w:p>
        </w:tc>
      </w:tr>
      <w:tr w:rsidR="006C1A0F" w:rsidRPr="006C1A0F" w14:paraId="62B75CF7" w14:textId="77777777" w:rsidTr="00016B19">
        <w:trPr>
          <w:jc w:val="center"/>
        </w:trPr>
        <w:tc>
          <w:tcPr>
            <w:tcW w:w="2425" w:type="dxa"/>
            <w:tcBorders>
              <w:top w:val="single" w:sz="4" w:space="0" w:color="auto"/>
              <w:left w:val="single" w:sz="4" w:space="0" w:color="auto"/>
              <w:bottom w:val="single" w:sz="4" w:space="0" w:color="auto"/>
              <w:right w:val="nil"/>
            </w:tcBorders>
          </w:tcPr>
          <w:p w14:paraId="6E539EE9" w14:textId="77777777" w:rsidR="006C1A0F" w:rsidRPr="006C1A0F" w:rsidRDefault="006C1A0F" w:rsidP="006C1A0F">
            <w:pPr>
              <w:spacing w:after="160" w:line="259" w:lineRule="auto"/>
              <w:rPr>
                <w:rFonts w:eastAsia="Batang"/>
                <w:bCs/>
              </w:rPr>
            </w:pPr>
            <w:r w:rsidRPr="006C1A0F">
              <w:rPr>
                <w:rFonts w:eastAsia="Batang"/>
                <w:bCs/>
              </w:rPr>
              <w:t>UE array gain</w:t>
            </w:r>
          </w:p>
        </w:tc>
        <w:tc>
          <w:tcPr>
            <w:tcW w:w="2340" w:type="dxa"/>
            <w:tcBorders>
              <w:top w:val="single" w:sz="4" w:space="0" w:color="auto"/>
              <w:left w:val="nil"/>
              <w:bottom w:val="single" w:sz="4" w:space="0" w:color="auto"/>
              <w:right w:val="single" w:sz="4" w:space="0" w:color="auto"/>
            </w:tcBorders>
          </w:tcPr>
          <w:p w14:paraId="190439B2" w14:textId="77777777" w:rsidR="006C1A0F" w:rsidRPr="006C1A0F" w:rsidRDefault="006C1A0F" w:rsidP="006C1A0F">
            <w:pPr>
              <w:spacing w:after="160" w:line="259" w:lineRule="auto"/>
              <w:rPr>
                <w:rFonts w:eastAsia="Batang"/>
                <w:bCs/>
              </w:rPr>
            </w:pPr>
            <w:r w:rsidRPr="006C1A0F">
              <w:rPr>
                <w:rFonts w:eastAsia="Batang"/>
                <w:bCs/>
              </w:rPr>
              <w:t>6 dB</w:t>
            </w:r>
          </w:p>
        </w:tc>
        <w:tc>
          <w:tcPr>
            <w:tcW w:w="2362" w:type="dxa"/>
            <w:tcBorders>
              <w:top w:val="single" w:sz="4" w:space="0" w:color="auto"/>
              <w:left w:val="single" w:sz="4" w:space="0" w:color="auto"/>
              <w:bottom w:val="single" w:sz="4" w:space="0" w:color="auto"/>
              <w:right w:val="nil"/>
            </w:tcBorders>
          </w:tcPr>
          <w:p w14:paraId="52262E9D" w14:textId="77777777" w:rsidR="006C1A0F" w:rsidRPr="006C1A0F" w:rsidRDefault="006C1A0F" w:rsidP="006C1A0F">
            <w:pPr>
              <w:spacing w:after="160" w:line="259" w:lineRule="auto"/>
              <w:rPr>
                <w:rFonts w:eastAsia="Batang"/>
                <w:bCs/>
              </w:rPr>
            </w:pPr>
            <w:r w:rsidRPr="006C1A0F">
              <w:rPr>
                <w:rFonts w:eastAsia="Batang"/>
              </w:rPr>
              <w:t>UE # per sector</w:t>
            </w:r>
          </w:p>
        </w:tc>
        <w:tc>
          <w:tcPr>
            <w:tcW w:w="2223" w:type="dxa"/>
            <w:tcBorders>
              <w:top w:val="single" w:sz="4" w:space="0" w:color="auto"/>
              <w:left w:val="nil"/>
              <w:bottom w:val="single" w:sz="4" w:space="0" w:color="auto"/>
              <w:right w:val="single" w:sz="4" w:space="0" w:color="auto"/>
            </w:tcBorders>
          </w:tcPr>
          <w:p w14:paraId="1DD72BC8" w14:textId="77777777" w:rsidR="006C1A0F" w:rsidRPr="006C1A0F" w:rsidRDefault="006C1A0F" w:rsidP="006C1A0F">
            <w:pPr>
              <w:spacing w:after="160" w:line="259" w:lineRule="auto"/>
              <w:rPr>
                <w:rFonts w:eastAsia="Batang"/>
                <w:bCs/>
              </w:rPr>
            </w:pPr>
            <w:r w:rsidRPr="006C1A0F">
              <w:rPr>
                <w:rFonts w:eastAsia="Batang"/>
              </w:rPr>
              <w:t>10</w:t>
            </w:r>
          </w:p>
        </w:tc>
      </w:tr>
      <w:tr w:rsidR="006C1A0F" w:rsidRPr="006C1A0F" w14:paraId="5E67AF36" w14:textId="77777777" w:rsidTr="00016B19">
        <w:trPr>
          <w:jc w:val="center"/>
        </w:trPr>
        <w:tc>
          <w:tcPr>
            <w:tcW w:w="2425" w:type="dxa"/>
            <w:tcBorders>
              <w:top w:val="single" w:sz="4" w:space="0" w:color="auto"/>
              <w:left w:val="single" w:sz="4" w:space="0" w:color="auto"/>
              <w:bottom w:val="single" w:sz="4" w:space="0" w:color="auto"/>
              <w:right w:val="nil"/>
            </w:tcBorders>
          </w:tcPr>
          <w:p w14:paraId="2F764A3F" w14:textId="77777777" w:rsidR="006C1A0F" w:rsidRPr="006C1A0F" w:rsidRDefault="006C1A0F" w:rsidP="006C1A0F">
            <w:pPr>
              <w:spacing w:after="160" w:line="259" w:lineRule="auto"/>
              <w:rPr>
                <w:rFonts w:eastAsia="Batang"/>
                <w:bCs/>
              </w:rPr>
            </w:pPr>
            <w:r w:rsidRPr="006C1A0F">
              <w:rPr>
                <w:rFonts w:eastAsia="Batang"/>
              </w:rPr>
              <w:t>Blocked panel modelling</w:t>
            </w:r>
          </w:p>
        </w:tc>
        <w:tc>
          <w:tcPr>
            <w:tcW w:w="2340" w:type="dxa"/>
            <w:tcBorders>
              <w:top w:val="single" w:sz="4" w:space="0" w:color="auto"/>
              <w:left w:val="nil"/>
              <w:bottom w:val="single" w:sz="4" w:space="0" w:color="auto"/>
              <w:right w:val="single" w:sz="4" w:space="0" w:color="auto"/>
            </w:tcBorders>
          </w:tcPr>
          <w:p w14:paraId="680B168B" w14:textId="77777777" w:rsidR="006C1A0F" w:rsidRPr="006C1A0F" w:rsidRDefault="006C1A0F" w:rsidP="006C1A0F">
            <w:pPr>
              <w:spacing w:after="160" w:line="259" w:lineRule="auto"/>
              <w:rPr>
                <w:rFonts w:eastAsia="Batang"/>
                <w:bCs/>
              </w:rPr>
            </w:pPr>
            <w:r w:rsidRPr="006C1A0F">
              <w:rPr>
                <w:rFonts w:eastAsia="Batang"/>
              </w:rPr>
              <w:t>Additional 10 dB loss on DL/UL + 10 dB max UL power reduction</w:t>
            </w:r>
          </w:p>
        </w:tc>
        <w:tc>
          <w:tcPr>
            <w:tcW w:w="2362" w:type="dxa"/>
            <w:tcBorders>
              <w:top w:val="single" w:sz="4" w:space="0" w:color="auto"/>
              <w:left w:val="single" w:sz="4" w:space="0" w:color="auto"/>
              <w:bottom w:val="single" w:sz="4" w:space="0" w:color="auto"/>
              <w:right w:val="nil"/>
            </w:tcBorders>
          </w:tcPr>
          <w:p w14:paraId="0C6CD387" w14:textId="77777777" w:rsidR="006C1A0F" w:rsidRPr="006C1A0F" w:rsidRDefault="006C1A0F" w:rsidP="006C1A0F">
            <w:pPr>
              <w:spacing w:after="160" w:line="259" w:lineRule="auto"/>
              <w:rPr>
                <w:rFonts w:eastAsia="Batang"/>
                <w:bCs/>
              </w:rPr>
            </w:pPr>
            <w:r w:rsidRPr="006C1A0F">
              <w:rPr>
                <w:rFonts w:eastAsia="Batang"/>
              </w:rPr>
              <w:t>UE orientation</w:t>
            </w:r>
          </w:p>
        </w:tc>
        <w:tc>
          <w:tcPr>
            <w:tcW w:w="2223" w:type="dxa"/>
            <w:tcBorders>
              <w:top w:val="single" w:sz="4" w:space="0" w:color="auto"/>
              <w:left w:val="nil"/>
              <w:bottom w:val="single" w:sz="4" w:space="0" w:color="auto"/>
              <w:right w:val="single" w:sz="4" w:space="0" w:color="auto"/>
            </w:tcBorders>
          </w:tcPr>
          <w:p w14:paraId="45FB8D47" w14:textId="77777777" w:rsidR="006C1A0F" w:rsidRPr="006C1A0F" w:rsidRDefault="006C1A0F" w:rsidP="006C1A0F">
            <w:pPr>
              <w:spacing w:after="160" w:line="259" w:lineRule="auto"/>
              <w:rPr>
                <w:rFonts w:eastAsia="Batang"/>
                <w:bCs/>
              </w:rPr>
            </w:pPr>
            <w:r w:rsidRPr="006C1A0F">
              <w:rPr>
                <w:rFonts w:eastAsia="Batang"/>
              </w:rPr>
              <w:t>Vertical but random in azimuth</w:t>
            </w:r>
          </w:p>
        </w:tc>
      </w:tr>
      <w:tr w:rsidR="006C1A0F" w:rsidRPr="006C1A0F" w14:paraId="320F213F" w14:textId="77777777" w:rsidTr="00016B19">
        <w:trPr>
          <w:jc w:val="center"/>
        </w:trPr>
        <w:tc>
          <w:tcPr>
            <w:tcW w:w="2425" w:type="dxa"/>
            <w:tcBorders>
              <w:top w:val="single" w:sz="4" w:space="0" w:color="auto"/>
              <w:left w:val="single" w:sz="4" w:space="0" w:color="auto"/>
              <w:bottom w:val="single" w:sz="4" w:space="0" w:color="auto"/>
              <w:right w:val="nil"/>
            </w:tcBorders>
          </w:tcPr>
          <w:p w14:paraId="4AB9A354" w14:textId="77777777" w:rsidR="006C1A0F" w:rsidRPr="006C1A0F" w:rsidRDefault="006C1A0F" w:rsidP="006C1A0F">
            <w:pPr>
              <w:spacing w:after="160" w:line="259" w:lineRule="auto"/>
              <w:rPr>
                <w:rFonts w:eastAsia="Batang"/>
              </w:rPr>
            </w:pPr>
            <w:r w:rsidRPr="006C1A0F">
              <w:rPr>
                <w:rFonts w:eastAsia="Batang"/>
              </w:rPr>
              <w:t>Panel # per UE</w:t>
            </w:r>
          </w:p>
        </w:tc>
        <w:tc>
          <w:tcPr>
            <w:tcW w:w="2340" w:type="dxa"/>
            <w:tcBorders>
              <w:top w:val="single" w:sz="4" w:space="0" w:color="auto"/>
              <w:left w:val="nil"/>
              <w:bottom w:val="single" w:sz="4" w:space="0" w:color="auto"/>
              <w:right w:val="single" w:sz="4" w:space="0" w:color="auto"/>
            </w:tcBorders>
          </w:tcPr>
          <w:p w14:paraId="4EBB98E5" w14:textId="77777777" w:rsidR="006C1A0F" w:rsidRPr="006C1A0F" w:rsidRDefault="006C1A0F" w:rsidP="006C1A0F">
            <w:pPr>
              <w:spacing w:after="160" w:line="259" w:lineRule="auto"/>
              <w:rPr>
                <w:rFonts w:eastAsia="Batang"/>
              </w:rPr>
            </w:pPr>
            <w:r w:rsidRPr="006C1A0F">
              <w:rPr>
                <w:rFonts w:eastAsia="Batang"/>
              </w:rPr>
              <w:t>3</w:t>
            </w:r>
          </w:p>
        </w:tc>
        <w:tc>
          <w:tcPr>
            <w:tcW w:w="2362" w:type="dxa"/>
            <w:tcBorders>
              <w:top w:val="single" w:sz="4" w:space="0" w:color="auto"/>
              <w:left w:val="single" w:sz="4" w:space="0" w:color="auto"/>
              <w:bottom w:val="single" w:sz="4" w:space="0" w:color="auto"/>
              <w:right w:val="nil"/>
            </w:tcBorders>
          </w:tcPr>
          <w:p w14:paraId="0DE558B2" w14:textId="77777777" w:rsidR="006C1A0F" w:rsidRPr="006C1A0F" w:rsidRDefault="006C1A0F" w:rsidP="006C1A0F">
            <w:pPr>
              <w:spacing w:after="160" w:line="259" w:lineRule="auto"/>
              <w:rPr>
                <w:rFonts w:eastAsia="Batang"/>
              </w:rPr>
            </w:pPr>
            <w:r w:rsidRPr="006C1A0F">
              <w:rPr>
                <w:rFonts w:eastAsia="Batang"/>
              </w:rPr>
              <w:t>Panel orientation</w:t>
            </w:r>
          </w:p>
        </w:tc>
        <w:tc>
          <w:tcPr>
            <w:tcW w:w="2223" w:type="dxa"/>
            <w:tcBorders>
              <w:top w:val="single" w:sz="4" w:space="0" w:color="auto"/>
              <w:left w:val="nil"/>
              <w:bottom w:val="single" w:sz="4" w:space="0" w:color="auto"/>
              <w:right w:val="single" w:sz="4" w:space="0" w:color="auto"/>
            </w:tcBorders>
          </w:tcPr>
          <w:p w14:paraId="32884D6D" w14:textId="77777777" w:rsidR="006C1A0F" w:rsidRPr="006C1A0F" w:rsidRDefault="006C1A0F" w:rsidP="006C1A0F">
            <w:pPr>
              <w:spacing w:after="160" w:line="259" w:lineRule="auto"/>
              <w:rPr>
                <w:rFonts w:eastAsia="Batang"/>
              </w:rPr>
            </w:pPr>
            <w:r w:rsidRPr="006C1A0F">
              <w:rPr>
                <w:rFonts w:eastAsia="Batang"/>
              </w:rPr>
              <w:t>Left, back, right</w:t>
            </w:r>
          </w:p>
        </w:tc>
      </w:tr>
    </w:tbl>
    <w:p w14:paraId="097B2EC7" w14:textId="77777777" w:rsidR="006C1A0F" w:rsidRPr="006C1A0F" w:rsidRDefault="006C1A0F" w:rsidP="006C1A0F">
      <w:pPr>
        <w:spacing w:after="200"/>
        <w:jc w:val="center"/>
        <w:rPr>
          <w:b/>
          <w:iCs/>
          <w:szCs w:val="22"/>
        </w:rPr>
      </w:pPr>
      <w:r w:rsidRPr="006C1A0F">
        <w:rPr>
          <w:b/>
          <w:iCs/>
          <w:szCs w:val="22"/>
        </w:rPr>
        <w:t xml:space="preserve">Table 1: Simulation Assumptions for MPE Performance </w:t>
      </w:r>
    </w:p>
    <w:p w14:paraId="55BE474F" w14:textId="77777777" w:rsidR="006C1A0F" w:rsidRPr="006C1A0F" w:rsidRDefault="006C1A0F" w:rsidP="006C1A0F">
      <w:pPr>
        <w:jc w:val="both"/>
      </w:pPr>
    </w:p>
    <w:tbl>
      <w:tblPr>
        <w:tblStyle w:val="TableGrid"/>
        <w:tblW w:w="7099" w:type="dxa"/>
        <w:jc w:val="center"/>
        <w:tblLook w:val="04A0" w:firstRow="1" w:lastRow="0" w:firstColumn="1" w:lastColumn="0" w:noHBand="0" w:noVBand="1"/>
      </w:tblPr>
      <w:tblGrid>
        <w:gridCol w:w="1923"/>
        <w:gridCol w:w="1311"/>
        <w:gridCol w:w="1280"/>
        <w:gridCol w:w="1267"/>
        <w:gridCol w:w="1318"/>
      </w:tblGrid>
      <w:tr w:rsidR="006C1A0F" w:rsidRPr="006C1A0F" w14:paraId="7A93CC39" w14:textId="77777777" w:rsidTr="00016B19">
        <w:trPr>
          <w:jc w:val="center"/>
        </w:trPr>
        <w:tc>
          <w:tcPr>
            <w:tcW w:w="1923" w:type="dxa"/>
          </w:tcPr>
          <w:p w14:paraId="7FC27252" w14:textId="77777777" w:rsidR="006C1A0F" w:rsidRPr="006C1A0F" w:rsidRDefault="006C1A0F" w:rsidP="006C1A0F">
            <w:pPr>
              <w:spacing w:after="160" w:line="259" w:lineRule="auto"/>
              <w:rPr>
                <w:rFonts w:eastAsia="Batang"/>
                <w:b/>
              </w:rPr>
            </w:pPr>
          </w:p>
        </w:tc>
        <w:tc>
          <w:tcPr>
            <w:tcW w:w="2591" w:type="dxa"/>
            <w:gridSpan w:val="2"/>
          </w:tcPr>
          <w:p w14:paraId="61A89EB6" w14:textId="77777777" w:rsidR="006C1A0F" w:rsidRPr="006C1A0F" w:rsidRDefault="006C1A0F" w:rsidP="006C1A0F">
            <w:pPr>
              <w:spacing w:after="160" w:line="259" w:lineRule="auto"/>
              <w:rPr>
                <w:rFonts w:eastAsia="Batang"/>
                <w:b/>
              </w:rPr>
            </w:pPr>
            <w:r w:rsidRPr="006C1A0F">
              <w:rPr>
                <w:rFonts w:eastAsia="Batang"/>
                <w:b/>
              </w:rPr>
              <w:t>All UEs</w:t>
            </w:r>
          </w:p>
        </w:tc>
        <w:tc>
          <w:tcPr>
            <w:tcW w:w="2585" w:type="dxa"/>
            <w:gridSpan w:val="2"/>
          </w:tcPr>
          <w:p w14:paraId="1CDD8DC0" w14:textId="77777777" w:rsidR="006C1A0F" w:rsidRPr="006C1A0F" w:rsidRDefault="006C1A0F" w:rsidP="006C1A0F">
            <w:pPr>
              <w:spacing w:after="160" w:line="259" w:lineRule="auto"/>
              <w:rPr>
                <w:rFonts w:eastAsia="Batang"/>
                <w:b/>
              </w:rPr>
            </w:pPr>
            <w:r w:rsidRPr="006C1A0F">
              <w:rPr>
                <w:rFonts w:eastAsia="Batang"/>
                <w:b/>
              </w:rPr>
              <w:t>Impacted UEs</w:t>
            </w:r>
          </w:p>
        </w:tc>
      </w:tr>
      <w:tr w:rsidR="006C1A0F" w:rsidRPr="006C1A0F" w14:paraId="50F1DCE0" w14:textId="77777777" w:rsidTr="00016B19">
        <w:trPr>
          <w:jc w:val="center"/>
        </w:trPr>
        <w:tc>
          <w:tcPr>
            <w:tcW w:w="1923" w:type="dxa"/>
          </w:tcPr>
          <w:p w14:paraId="130E9FDF" w14:textId="77777777" w:rsidR="006C1A0F" w:rsidRPr="006C1A0F" w:rsidRDefault="006C1A0F" w:rsidP="006C1A0F">
            <w:pPr>
              <w:spacing w:after="160" w:line="259" w:lineRule="auto"/>
              <w:rPr>
                <w:rFonts w:eastAsia="Batang"/>
                <w:bCs/>
              </w:rPr>
            </w:pPr>
          </w:p>
        </w:tc>
        <w:tc>
          <w:tcPr>
            <w:tcW w:w="1311" w:type="dxa"/>
          </w:tcPr>
          <w:p w14:paraId="3317D68D"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Without MPE mitigation</w:t>
            </w:r>
          </w:p>
        </w:tc>
        <w:tc>
          <w:tcPr>
            <w:tcW w:w="1280" w:type="dxa"/>
          </w:tcPr>
          <w:p w14:paraId="348E9CF7"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 MPE mitigation</w:t>
            </w:r>
          </w:p>
        </w:tc>
        <w:tc>
          <w:tcPr>
            <w:tcW w:w="1267" w:type="dxa"/>
          </w:tcPr>
          <w:p w14:paraId="5E287CFB"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Without MPE mitigation</w:t>
            </w:r>
          </w:p>
        </w:tc>
        <w:tc>
          <w:tcPr>
            <w:tcW w:w="1318" w:type="dxa"/>
          </w:tcPr>
          <w:p w14:paraId="524F8D70" w14:textId="77777777" w:rsidR="006C1A0F" w:rsidRPr="006C1A0F" w:rsidRDefault="006C1A0F" w:rsidP="006C1A0F">
            <w:pPr>
              <w:spacing w:after="160" w:line="259" w:lineRule="auto"/>
              <w:rPr>
                <w:rFonts w:eastAsia="Batang"/>
                <w:bCs/>
                <w:sz w:val="18"/>
                <w:szCs w:val="18"/>
              </w:rPr>
            </w:pPr>
            <w:r w:rsidRPr="006C1A0F">
              <w:rPr>
                <w:rFonts w:eastAsia="Batang"/>
                <w:bCs/>
                <w:sz w:val="18"/>
                <w:szCs w:val="18"/>
              </w:rPr>
              <w:t>With MPE mitigation</w:t>
            </w:r>
          </w:p>
        </w:tc>
      </w:tr>
      <w:tr w:rsidR="006C1A0F" w:rsidRPr="006C1A0F" w14:paraId="5E67AB35" w14:textId="77777777" w:rsidTr="00016B19">
        <w:trPr>
          <w:jc w:val="center"/>
        </w:trPr>
        <w:tc>
          <w:tcPr>
            <w:tcW w:w="1923" w:type="dxa"/>
          </w:tcPr>
          <w:p w14:paraId="69B35962" w14:textId="77777777" w:rsidR="006C1A0F" w:rsidRPr="006C1A0F" w:rsidRDefault="006C1A0F" w:rsidP="006C1A0F">
            <w:pPr>
              <w:spacing w:after="160" w:line="259" w:lineRule="auto"/>
              <w:rPr>
                <w:rFonts w:eastAsia="Batang"/>
                <w:bCs/>
              </w:rPr>
            </w:pPr>
            <w:r w:rsidRPr="006C1A0F">
              <w:rPr>
                <w:rFonts w:eastAsia="Batang"/>
                <w:bCs/>
              </w:rPr>
              <w:t>5%ile TPUT (Mbps)</w:t>
            </w:r>
          </w:p>
        </w:tc>
        <w:tc>
          <w:tcPr>
            <w:tcW w:w="1311" w:type="dxa"/>
          </w:tcPr>
          <w:p w14:paraId="207906E7" w14:textId="77777777" w:rsidR="006C1A0F" w:rsidRPr="006C1A0F" w:rsidRDefault="006C1A0F" w:rsidP="006C1A0F">
            <w:pPr>
              <w:spacing w:after="160" w:line="259" w:lineRule="auto"/>
              <w:jc w:val="center"/>
              <w:rPr>
                <w:rFonts w:eastAsia="Batang"/>
                <w:bCs/>
              </w:rPr>
            </w:pPr>
            <w:r w:rsidRPr="006C1A0F">
              <w:rPr>
                <w:rFonts w:eastAsia="Batang"/>
                <w:bCs/>
              </w:rPr>
              <w:t>0.2</w:t>
            </w:r>
          </w:p>
        </w:tc>
        <w:tc>
          <w:tcPr>
            <w:tcW w:w="1280" w:type="dxa"/>
          </w:tcPr>
          <w:p w14:paraId="5E0AA0E3" w14:textId="77777777" w:rsidR="006C1A0F" w:rsidRPr="006C1A0F" w:rsidRDefault="006C1A0F" w:rsidP="006C1A0F">
            <w:pPr>
              <w:spacing w:after="160" w:line="259" w:lineRule="auto"/>
              <w:jc w:val="center"/>
              <w:rPr>
                <w:rFonts w:eastAsia="Batang"/>
                <w:bCs/>
              </w:rPr>
            </w:pPr>
            <w:r w:rsidRPr="006C1A0F">
              <w:rPr>
                <w:rFonts w:eastAsia="Batang"/>
                <w:bCs/>
              </w:rPr>
              <w:t>0.5</w:t>
            </w:r>
          </w:p>
        </w:tc>
        <w:tc>
          <w:tcPr>
            <w:tcW w:w="1267" w:type="dxa"/>
          </w:tcPr>
          <w:p w14:paraId="58CAFD8E" w14:textId="77777777" w:rsidR="006C1A0F" w:rsidRPr="006C1A0F" w:rsidRDefault="006C1A0F" w:rsidP="006C1A0F">
            <w:pPr>
              <w:spacing w:after="160" w:line="259" w:lineRule="auto"/>
              <w:jc w:val="center"/>
              <w:rPr>
                <w:rFonts w:eastAsia="Batang"/>
                <w:bCs/>
              </w:rPr>
            </w:pPr>
            <w:r w:rsidRPr="006C1A0F">
              <w:rPr>
                <w:rFonts w:eastAsia="Batang"/>
                <w:bCs/>
              </w:rPr>
              <w:t>0.01</w:t>
            </w:r>
          </w:p>
        </w:tc>
        <w:tc>
          <w:tcPr>
            <w:tcW w:w="1318" w:type="dxa"/>
          </w:tcPr>
          <w:p w14:paraId="7E6E094C" w14:textId="77777777" w:rsidR="006C1A0F" w:rsidRPr="006C1A0F" w:rsidRDefault="006C1A0F" w:rsidP="006C1A0F">
            <w:pPr>
              <w:spacing w:after="160" w:line="259" w:lineRule="auto"/>
              <w:jc w:val="center"/>
              <w:rPr>
                <w:rFonts w:eastAsia="Batang"/>
              </w:rPr>
            </w:pPr>
            <w:r w:rsidRPr="006C1A0F">
              <w:rPr>
                <w:rFonts w:eastAsia="Batang"/>
              </w:rPr>
              <w:t>0.2</w:t>
            </w:r>
          </w:p>
        </w:tc>
      </w:tr>
      <w:tr w:rsidR="006C1A0F" w:rsidRPr="006C1A0F" w14:paraId="3C29CC68" w14:textId="77777777" w:rsidTr="00016B19">
        <w:trPr>
          <w:jc w:val="center"/>
        </w:trPr>
        <w:tc>
          <w:tcPr>
            <w:tcW w:w="1923" w:type="dxa"/>
          </w:tcPr>
          <w:p w14:paraId="4A20012C" w14:textId="77777777" w:rsidR="006C1A0F" w:rsidRPr="006C1A0F" w:rsidRDefault="006C1A0F" w:rsidP="006C1A0F">
            <w:pPr>
              <w:spacing w:after="160" w:line="259" w:lineRule="auto"/>
              <w:rPr>
                <w:rFonts w:eastAsia="Batang"/>
                <w:bCs/>
              </w:rPr>
            </w:pPr>
            <w:r w:rsidRPr="006C1A0F">
              <w:rPr>
                <w:rFonts w:eastAsia="Batang"/>
                <w:bCs/>
              </w:rPr>
              <w:t>5%ile TPUT gain</w:t>
            </w:r>
          </w:p>
        </w:tc>
        <w:tc>
          <w:tcPr>
            <w:tcW w:w="1311" w:type="dxa"/>
          </w:tcPr>
          <w:p w14:paraId="48D9C48F" w14:textId="77777777" w:rsidR="006C1A0F" w:rsidRPr="006C1A0F" w:rsidRDefault="006C1A0F" w:rsidP="006C1A0F">
            <w:pPr>
              <w:spacing w:after="160" w:line="259" w:lineRule="auto"/>
              <w:jc w:val="center"/>
              <w:rPr>
                <w:rFonts w:eastAsia="Batang"/>
                <w:bCs/>
              </w:rPr>
            </w:pPr>
            <w:r w:rsidRPr="006C1A0F">
              <w:rPr>
                <w:rFonts w:eastAsia="Batang"/>
                <w:bCs/>
              </w:rPr>
              <w:t>–</w:t>
            </w:r>
          </w:p>
        </w:tc>
        <w:tc>
          <w:tcPr>
            <w:tcW w:w="1280" w:type="dxa"/>
          </w:tcPr>
          <w:p w14:paraId="6556780A" w14:textId="77777777" w:rsidR="006C1A0F" w:rsidRPr="006C1A0F" w:rsidRDefault="006C1A0F" w:rsidP="006C1A0F">
            <w:pPr>
              <w:spacing w:after="160" w:line="259" w:lineRule="auto"/>
              <w:jc w:val="center"/>
              <w:rPr>
                <w:rFonts w:eastAsia="Batang"/>
                <w:bCs/>
              </w:rPr>
            </w:pPr>
            <w:r w:rsidRPr="006C1A0F">
              <w:rPr>
                <w:rFonts w:eastAsia="Batang"/>
                <w:bCs/>
              </w:rPr>
              <w:t>250%</w:t>
            </w:r>
          </w:p>
        </w:tc>
        <w:tc>
          <w:tcPr>
            <w:tcW w:w="1267" w:type="dxa"/>
          </w:tcPr>
          <w:p w14:paraId="41480C85" w14:textId="77777777" w:rsidR="006C1A0F" w:rsidRPr="006C1A0F" w:rsidRDefault="006C1A0F" w:rsidP="006C1A0F">
            <w:pPr>
              <w:spacing w:after="160" w:line="259" w:lineRule="auto"/>
              <w:jc w:val="center"/>
              <w:rPr>
                <w:rFonts w:eastAsia="Batang"/>
                <w:bCs/>
              </w:rPr>
            </w:pPr>
            <w:r w:rsidRPr="006C1A0F">
              <w:rPr>
                <w:rFonts w:eastAsia="Batang"/>
                <w:bCs/>
              </w:rPr>
              <w:t>–</w:t>
            </w:r>
          </w:p>
        </w:tc>
        <w:tc>
          <w:tcPr>
            <w:tcW w:w="1318" w:type="dxa"/>
          </w:tcPr>
          <w:p w14:paraId="041531F2" w14:textId="77777777" w:rsidR="006C1A0F" w:rsidRPr="006C1A0F" w:rsidRDefault="006C1A0F" w:rsidP="006C1A0F">
            <w:pPr>
              <w:spacing w:after="160" w:line="259" w:lineRule="auto"/>
              <w:jc w:val="center"/>
              <w:rPr>
                <w:rFonts w:eastAsia="Batang"/>
              </w:rPr>
            </w:pPr>
            <w:r w:rsidRPr="006C1A0F">
              <w:rPr>
                <w:rFonts w:eastAsia="Batang"/>
              </w:rPr>
              <w:t>2000%</w:t>
            </w:r>
          </w:p>
        </w:tc>
      </w:tr>
      <w:tr w:rsidR="006C1A0F" w:rsidRPr="006C1A0F" w14:paraId="135F3095" w14:textId="77777777" w:rsidTr="00016B19">
        <w:trPr>
          <w:jc w:val="center"/>
        </w:trPr>
        <w:tc>
          <w:tcPr>
            <w:tcW w:w="1923" w:type="dxa"/>
          </w:tcPr>
          <w:p w14:paraId="2A93942A" w14:textId="77777777" w:rsidR="006C1A0F" w:rsidRPr="006C1A0F" w:rsidRDefault="006C1A0F" w:rsidP="006C1A0F">
            <w:pPr>
              <w:spacing w:after="160" w:line="259" w:lineRule="auto"/>
              <w:rPr>
                <w:rFonts w:eastAsia="Batang"/>
                <w:bCs/>
              </w:rPr>
            </w:pPr>
            <w:r w:rsidRPr="006C1A0F">
              <w:rPr>
                <w:rFonts w:eastAsia="Batang"/>
              </w:rPr>
              <w:t>Mean TPUT (Mbps)</w:t>
            </w:r>
          </w:p>
        </w:tc>
        <w:tc>
          <w:tcPr>
            <w:tcW w:w="1311" w:type="dxa"/>
          </w:tcPr>
          <w:p w14:paraId="7AA7D5B0" w14:textId="77777777" w:rsidR="006C1A0F" w:rsidRPr="006C1A0F" w:rsidRDefault="006C1A0F" w:rsidP="006C1A0F">
            <w:pPr>
              <w:spacing w:after="160" w:line="259" w:lineRule="auto"/>
              <w:jc w:val="center"/>
              <w:rPr>
                <w:rFonts w:eastAsia="Batang"/>
                <w:bCs/>
              </w:rPr>
            </w:pPr>
            <w:r w:rsidRPr="006C1A0F">
              <w:rPr>
                <w:rFonts w:eastAsia="Batang"/>
              </w:rPr>
              <w:t>13.2</w:t>
            </w:r>
          </w:p>
        </w:tc>
        <w:tc>
          <w:tcPr>
            <w:tcW w:w="1280" w:type="dxa"/>
          </w:tcPr>
          <w:p w14:paraId="13BDB741" w14:textId="77777777" w:rsidR="006C1A0F" w:rsidRPr="006C1A0F" w:rsidRDefault="006C1A0F" w:rsidP="006C1A0F">
            <w:pPr>
              <w:spacing w:after="160" w:line="259" w:lineRule="auto"/>
              <w:jc w:val="center"/>
              <w:rPr>
                <w:rFonts w:eastAsia="Batang"/>
                <w:bCs/>
              </w:rPr>
            </w:pPr>
            <w:r w:rsidRPr="006C1A0F">
              <w:rPr>
                <w:rFonts w:eastAsia="Batang"/>
              </w:rPr>
              <w:t>21.1</w:t>
            </w:r>
          </w:p>
        </w:tc>
        <w:tc>
          <w:tcPr>
            <w:tcW w:w="1267" w:type="dxa"/>
          </w:tcPr>
          <w:p w14:paraId="702BE4E5" w14:textId="77777777" w:rsidR="006C1A0F" w:rsidRPr="006C1A0F" w:rsidRDefault="006C1A0F" w:rsidP="006C1A0F">
            <w:pPr>
              <w:spacing w:after="160" w:line="259" w:lineRule="auto"/>
              <w:jc w:val="center"/>
              <w:rPr>
                <w:rFonts w:eastAsia="Batang"/>
                <w:bCs/>
              </w:rPr>
            </w:pPr>
            <w:r w:rsidRPr="006C1A0F">
              <w:rPr>
                <w:rFonts w:eastAsia="Batang"/>
              </w:rPr>
              <w:t>5.4</w:t>
            </w:r>
          </w:p>
        </w:tc>
        <w:tc>
          <w:tcPr>
            <w:tcW w:w="1318" w:type="dxa"/>
          </w:tcPr>
          <w:p w14:paraId="5EF90C71" w14:textId="77777777" w:rsidR="006C1A0F" w:rsidRPr="006C1A0F" w:rsidRDefault="006C1A0F" w:rsidP="006C1A0F">
            <w:pPr>
              <w:spacing w:after="160" w:line="259" w:lineRule="auto"/>
              <w:jc w:val="center"/>
              <w:rPr>
                <w:rFonts w:eastAsia="Batang"/>
              </w:rPr>
            </w:pPr>
            <w:r w:rsidRPr="006C1A0F">
              <w:rPr>
                <w:rFonts w:eastAsia="Batang"/>
              </w:rPr>
              <w:t>10.6</w:t>
            </w:r>
          </w:p>
        </w:tc>
      </w:tr>
      <w:tr w:rsidR="006C1A0F" w:rsidRPr="006C1A0F" w14:paraId="392FFA9B" w14:textId="77777777" w:rsidTr="00016B19">
        <w:trPr>
          <w:trHeight w:val="41"/>
          <w:jc w:val="center"/>
        </w:trPr>
        <w:tc>
          <w:tcPr>
            <w:tcW w:w="1923" w:type="dxa"/>
          </w:tcPr>
          <w:p w14:paraId="45D77C53" w14:textId="77777777" w:rsidR="006C1A0F" w:rsidRPr="006C1A0F" w:rsidRDefault="006C1A0F" w:rsidP="006C1A0F">
            <w:pPr>
              <w:spacing w:after="160" w:line="259" w:lineRule="auto"/>
              <w:rPr>
                <w:rFonts w:eastAsia="Batang"/>
                <w:bCs/>
              </w:rPr>
            </w:pPr>
            <w:r w:rsidRPr="006C1A0F">
              <w:rPr>
                <w:rFonts w:eastAsia="Batang"/>
              </w:rPr>
              <w:t>Mean TPUT gain</w:t>
            </w:r>
          </w:p>
        </w:tc>
        <w:tc>
          <w:tcPr>
            <w:tcW w:w="1311" w:type="dxa"/>
          </w:tcPr>
          <w:p w14:paraId="76C95ED4" w14:textId="77777777" w:rsidR="006C1A0F" w:rsidRPr="006C1A0F" w:rsidRDefault="006C1A0F" w:rsidP="006C1A0F">
            <w:pPr>
              <w:spacing w:after="160" w:line="259" w:lineRule="auto"/>
              <w:jc w:val="center"/>
              <w:rPr>
                <w:rFonts w:eastAsia="Batang"/>
                <w:bCs/>
              </w:rPr>
            </w:pPr>
            <w:r w:rsidRPr="006C1A0F">
              <w:rPr>
                <w:rFonts w:eastAsia="Batang"/>
              </w:rPr>
              <w:t>–</w:t>
            </w:r>
          </w:p>
        </w:tc>
        <w:tc>
          <w:tcPr>
            <w:tcW w:w="1280" w:type="dxa"/>
          </w:tcPr>
          <w:p w14:paraId="2647F3B0" w14:textId="77777777" w:rsidR="006C1A0F" w:rsidRPr="006C1A0F" w:rsidRDefault="006C1A0F" w:rsidP="006C1A0F">
            <w:pPr>
              <w:spacing w:after="160" w:line="259" w:lineRule="auto"/>
              <w:jc w:val="center"/>
              <w:rPr>
                <w:rFonts w:eastAsia="Batang"/>
                <w:bCs/>
              </w:rPr>
            </w:pPr>
            <w:r w:rsidRPr="006C1A0F">
              <w:rPr>
                <w:rFonts w:eastAsia="Batang"/>
              </w:rPr>
              <w:t>62%</w:t>
            </w:r>
          </w:p>
        </w:tc>
        <w:tc>
          <w:tcPr>
            <w:tcW w:w="1267" w:type="dxa"/>
          </w:tcPr>
          <w:p w14:paraId="315C6667" w14:textId="77777777" w:rsidR="006C1A0F" w:rsidRPr="006C1A0F" w:rsidRDefault="006C1A0F" w:rsidP="006C1A0F">
            <w:pPr>
              <w:spacing w:after="160" w:line="259" w:lineRule="auto"/>
              <w:jc w:val="center"/>
              <w:rPr>
                <w:rFonts w:eastAsia="Batang"/>
                <w:bCs/>
              </w:rPr>
            </w:pPr>
            <w:r w:rsidRPr="006C1A0F">
              <w:rPr>
                <w:rFonts w:eastAsia="Batang"/>
              </w:rPr>
              <w:t>–</w:t>
            </w:r>
          </w:p>
        </w:tc>
        <w:tc>
          <w:tcPr>
            <w:tcW w:w="1318" w:type="dxa"/>
          </w:tcPr>
          <w:p w14:paraId="40D1517D" w14:textId="77777777" w:rsidR="006C1A0F" w:rsidRPr="006C1A0F" w:rsidRDefault="006C1A0F" w:rsidP="006C1A0F">
            <w:pPr>
              <w:spacing w:after="160" w:line="259" w:lineRule="auto"/>
              <w:jc w:val="center"/>
              <w:rPr>
                <w:rFonts w:eastAsia="Batang"/>
              </w:rPr>
            </w:pPr>
            <w:r w:rsidRPr="006C1A0F">
              <w:rPr>
                <w:rFonts w:eastAsia="Batang"/>
              </w:rPr>
              <w:t>96%</w:t>
            </w:r>
          </w:p>
        </w:tc>
      </w:tr>
    </w:tbl>
    <w:p w14:paraId="00ADF01E" w14:textId="77777777" w:rsidR="006C1A0F" w:rsidRPr="006C1A0F" w:rsidRDefault="006C1A0F" w:rsidP="006C1A0F">
      <w:pPr>
        <w:spacing w:after="200"/>
        <w:jc w:val="center"/>
        <w:rPr>
          <w:b/>
          <w:iCs/>
          <w:szCs w:val="22"/>
        </w:rPr>
      </w:pPr>
      <w:r w:rsidRPr="006C1A0F">
        <w:rPr>
          <w:b/>
          <w:iCs/>
          <w:szCs w:val="22"/>
        </w:rPr>
        <w:t xml:space="preserve">Table 2: Summary of UE Throughput Gain with MPE Mitigation </w:t>
      </w:r>
    </w:p>
    <w:p w14:paraId="2BE16047" w14:textId="77777777" w:rsidR="006C1A0F" w:rsidRPr="006C1A0F" w:rsidRDefault="006C1A0F" w:rsidP="006C1A0F">
      <w:pPr>
        <w:jc w:val="both"/>
      </w:pPr>
    </w:p>
    <w:p w14:paraId="0037522C" w14:textId="77777777" w:rsidR="006C1A0F" w:rsidRPr="006C1A0F" w:rsidRDefault="006C1A0F" w:rsidP="006C1A0F">
      <w:pPr>
        <w:jc w:val="center"/>
        <w:rPr>
          <w:lang w:eastAsia="ja-JP"/>
        </w:rPr>
      </w:pPr>
      <w:r w:rsidRPr="006C1A0F">
        <w:rPr>
          <w:noProof/>
          <w:lang w:eastAsia="ja-JP"/>
        </w:rPr>
        <w:lastRenderedPageBreak/>
        <w:drawing>
          <wp:inline distT="0" distB="0" distL="0" distR="0" wp14:anchorId="6D0E22B6" wp14:editId="52568844">
            <wp:extent cx="2821437" cy="2115271"/>
            <wp:effectExtent l="0" t="0" r="0" b="0"/>
            <wp:docPr id="5" name="Picture 4" descr="Chart, scatter chart&#10;&#10;Description automatically generated">
              <a:extLst xmlns:a="http://schemas.openxmlformats.org/drawingml/2006/main">
                <a:ext uri="{FF2B5EF4-FFF2-40B4-BE49-F238E27FC236}">
                  <a16:creationId xmlns:a16="http://schemas.microsoft.com/office/drawing/2014/main" id="{6541F825-34FC-4DBD-BD6D-60974ABA3B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scatter chart&#10;&#10;Description automatically generated">
                      <a:extLst>
                        <a:ext uri="{FF2B5EF4-FFF2-40B4-BE49-F238E27FC236}">
                          <a16:creationId xmlns:a16="http://schemas.microsoft.com/office/drawing/2014/main" id="{6541F825-34FC-4DBD-BD6D-60974ABA3B74}"/>
                        </a:ext>
                      </a:extLst>
                    </pic:cNvPr>
                    <pic:cNvPicPr>
                      <a:picLocks noChangeAspect="1"/>
                    </pic:cNvPicPr>
                  </pic:nvPicPr>
                  <pic:blipFill>
                    <a:blip r:embed="rId20"/>
                    <a:stretch>
                      <a:fillRect/>
                    </a:stretch>
                  </pic:blipFill>
                  <pic:spPr>
                    <a:xfrm>
                      <a:off x="0" y="0"/>
                      <a:ext cx="2846632" cy="2134160"/>
                    </a:xfrm>
                    <a:prstGeom prst="rect">
                      <a:avLst/>
                    </a:prstGeom>
                  </pic:spPr>
                </pic:pic>
              </a:graphicData>
            </a:graphic>
          </wp:inline>
        </w:drawing>
      </w:r>
      <w:r w:rsidRPr="006C1A0F">
        <w:rPr>
          <w:noProof/>
        </w:rPr>
        <w:drawing>
          <wp:inline distT="0" distB="0" distL="0" distR="0" wp14:anchorId="5CB6851F" wp14:editId="611DF018">
            <wp:extent cx="2836107" cy="2126271"/>
            <wp:effectExtent l="0" t="0" r="2540" b="7620"/>
            <wp:docPr id="1" name="Picture 6" descr="Chart&#10;&#10;Description automatically generated">
              <a:extLst xmlns:a="http://schemas.openxmlformats.org/drawingml/2006/main">
                <a:ext uri="{FF2B5EF4-FFF2-40B4-BE49-F238E27FC236}">
                  <a16:creationId xmlns:a16="http://schemas.microsoft.com/office/drawing/2014/main" id="{C9A54196-A389-4E56-9AA7-EB4F14B17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C9A54196-A389-4E56-9AA7-EB4F14B170B0}"/>
                        </a:ext>
                      </a:extLst>
                    </pic:cNvPr>
                    <pic:cNvPicPr>
                      <a:picLocks noChangeAspect="1"/>
                    </pic:cNvPicPr>
                  </pic:nvPicPr>
                  <pic:blipFill>
                    <a:blip r:embed="rId21"/>
                    <a:stretch>
                      <a:fillRect/>
                    </a:stretch>
                  </pic:blipFill>
                  <pic:spPr>
                    <a:xfrm>
                      <a:off x="0" y="0"/>
                      <a:ext cx="2854846" cy="2140320"/>
                    </a:xfrm>
                    <a:prstGeom prst="rect">
                      <a:avLst/>
                    </a:prstGeom>
                  </pic:spPr>
                </pic:pic>
              </a:graphicData>
            </a:graphic>
          </wp:inline>
        </w:drawing>
      </w:r>
    </w:p>
    <w:p w14:paraId="655820CF" w14:textId="77777777" w:rsidR="006C1A0F" w:rsidRPr="006C1A0F" w:rsidRDefault="006C1A0F" w:rsidP="006C1A0F">
      <w:pPr>
        <w:jc w:val="center"/>
        <w:rPr>
          <w:lang w:eastAsia="ja-JP"/>
        </w:rPr>
      </w:pPr>
      <w:r w:rsidRPr="006C1A0F">
        <w:rPr>
          <w:noProof/>
        </w:rPr>
        <w:drawing>
          <wp:inline distT="0" distB="0" distL="0" distR="0" wp14:anchorId="5490AFE5" wp14:editId="4DB8C29A">
            <wp:extent cx="2840997" cy="2129937"/>
            <wp:effectExtent l="0" t="0" r="0" b="3810"/>
            <wp:docPr id="9" name="Picture 8" descr="Chart, line chart&#10;&#10;Description automatically generated">
              <a:extLst xmlns:a="http://schemas.openxmlformats.org/drawingml/2006/main">
                <a:ext uri="{FF2B5EF4-FFF2-40B4-BE49-F238E27FC236}">
                  <a16:creationId xmlns:a16="http://schemas.microsoft.com/office/drawing/2014/main" id="{0968936A-5FDE-470D-8651-0EEA5EFE0C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Chart, line chart&#10;&#10;Description automatically generated">
                      <a:extLst>
                        <a:ext uri="{FF2B5EF4-FFF2-40B4-BE49-F238E27FC236}">
                          <a16:creationId xmlns:a16="http://schemas.microsoft.com/office/drawing/2014/main" id="{0968936A-5FDE-470D-8651-0EEA5EFE0C79}"/>
                        </a:ext>
                      </a:extLst>
                    </pic:cNvPr>
                    <pic:cNvPicPr>
                      <a:picLocks noChangeAspect="1"/>
                    </pic:cNvPicPr>
                  </pic:nvPicPr>
                  <pic:blipFill>
                    <a:blip r:embed="rId22"/>
                    <a:stretch>
                      <a:fillRect/>
                    </a:stretch>
                  </pic:blipFill>
                  <pic:spPr>
                    <a:xfrm>
                      <a:off x="0" y="0"/>
                      <a:ext cx="2853978" cy="2139669"/>
                    </a:xfrm>
                    <a:prstGeom prst="rect">
                      <a:avLst/>
                    </a:prstGeom>
                  </pic:spPr>
                </pic:pic>
              </a:graphicData>
            </a:graphic>
          </wp:inline>
        </w:drawing>
      </w:r>
      <w:r w:rsidRPr="006C1A0F">
        <w:rPr>
          <w:noProof/>
        </w:rPr>
        <w:drawing>
          <wp:inline distT="0" distB="0" distL="0" distR="0" wp14:anchorId="440E62B0" wp14:editId="76ECE47C">
            <wp:extent cx="2855666" cy="2141750"/>
            <wp:effectExtent l="0" t="0" r="1905" b="0"/>
            <wp:docPr id="4" name="Picture 3" descr="Chart, line chart&#10;&#10;Description automatically generated">
              <a:extLst xmlns:a="http://schemas.openxmlformats.org/drawingml/2006/main">
                <a:ext uri="{FF2B5EF4-FFF2-40B4-BE49-F238E27FC236}">
                  <a16:creationId xmlns:a16="http://schemas.microsoft.com/office/drawing/2014/main" id="{625C5423-90EE-4754-A895-AA2B919624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625C5423-90EE-4754-A895-AA2B91962460}"/>
                        </a:ext>
                      </a:extLst>
                    </pic:cNvPr>
                    <pic:cNvPicPr>
                      <a:picLocks noChangeAspect="1"/>
                    </pic:cNvPicPr>
                  </pic:nvPicPr>
                  <pic:blipFill>
                    <a:blip r:embed="rId23"/>
                    <a:stretch>
                      <a:fillRect/>
                    </a:stretch>
                  </pic:blipFill>
                  <pic:spPr>
                    <a:xfrm>
                      <a:off x="0" y="0"/>
                      <a:ext cx="2871537" cy="2153653"/>
                    </a:xfrm>
                    <a:prstGeom prst="rect">
                      <a:avLst/>
                    </a:prstGeom>
                  </pic:spPr>
                </pic:pic>
              </a:graphicData>
            </a:graphic>
          </wp:inline>
        </w:drawing>
      </w:r>
    </w:p>
    <w:p w14:paraId="00EF9DF4" w14:textId="0E9FB82D" w:rsidR="006C1A0F" w:rsidRPr="006C1A0F" w:rsidRDefault="006C1A0F" w:rsidP="006C1A0F">
      <w:pPr>
        <w:spacing w:after="200"/>
        <w:jc w:val="center"/>
        <w:rPr>
          <w:b/>
          <w:iCs/>
          <w:szCs w:val="22"/>
        </w:rPr>
      </w:pPr>
      <w:r w:rsidRPr="006C1A0F">
        <w:rPr>
          <w:b/>
          <w:iCs/>
          <w:szCs w:val="22"/>
        </w:rPr>
        <w:t xml:space="preserve">Figure </w:t>
      </w:r>
      <w:r w:rsidR="00287744">
        <w:rPr>
          <w:b/>
          <w:iCs/>
          <w:szCs w:val="22"/>
        </w:rPr>
        <w:t>4</w:t>
      </w:r>
      <w:r w:rsidRPr="006C1A0F">
        <w:rPr>
          <w:b/>
          <w:iCs/>
          <w:szCs w:val="22"/>
        </w:rPr>
        <w:t>: Comparison of UE Throughput, SNR, and SINR for without and with MPE mitigation</w:t>
      </w:r>
    </w:p>
    <w:p w14:paraId="038B3D4F" w14:textId="77777777" w:rsidR="006C1A0F" w:rsidRPr="006C1A0F" w:rsidRDefault="006C1A0F" w:rsidP="004A49B3">
      <w:pPr>
        <w:numPr>
          <w:ilvl w:val="0"/>
          <w:numId w:val="5"/>
        </w:numPr>
        <w:spacing w:after="200"/>
        <w:rPr>
          <w:rFonts w:eastAsia="PMingLiU"/>
          <w:bCs/>
          <w:iCs/>
          <w:sz w:val="18"/>
          <w:szCs w:val="18"/>
          <w:lang w:val="en-US"/>
        </w:rPr>
      </w:pPr>
      <w:r w:rsidRPr="006C1A0F">
        <w:rPr>
          <w:rFonts w:eastAsia="PMingLiU"/>
          <w:bCs/>
          <w:iCs/>
          <w:sz w:val="18"/>
          <w:szCs w:val="18"/>
          <w:lang w:val="en-US"/>
        </w:rPr>
        <w:t>alwaysBest (green) – Best DL beam as UL beam (</w:t>
      </w:r>
      <w:r w:rsidRPr="006C1A0F">
        <w:rPr>
          <w:rFonts w:eastAsia="PMingLiU"/>
          <w:bCs/>
          <w:iCs/>
          <w:color w:val="00B050"/>
          <w:sz w:val="18"/>
          <w:szCs w:val="18"/>
          <w:lang w:val="en-US"/>
        </w:rPr>
        <w:t>without MPE mitigation</w:t>
      </w:r>
      <w:r w:rsidRPr="006C1A0F">
        <w:rPr>
          <w:rFonts w:eastAsia="PMingLiU"/>
          <w:bCs/>
          <w:iCs/>
          <w:sz w:val="18"/>
          <w:szCs w:val="18"/>
          <w:lang w:val="en-US"/>
        </w:rPr>
        <w:t>)</w:t>
      </w:r>
    </w:p>
    <w:p w14:paraId="0FBBC4DD" w14:textId="77777777" w:rsidR="006C1A0F" w:rsidRPr="006C1A0F" w:rsidRDefault="006C1A0F" w:rsidP="004A49B3">
      <w:pPr>
        <w:numPr>
          <w:ilvl w:val="0"/>
          <w:numId w:val="5"/>
        </w:numPr>
        <w:spacing w:after="200"/>
        <w:rPr>
          <w:rFonts w:eastAsia="PMingLiU"/>
          <w:bCs/>
          <w:iCs/>
          <w:sz w:val="18"/>
          <w:szCs w:val="18"/>
          <w:lang w:val="en-US"/>
        </w:rPr>
      </w:pPr>
      <w:r w:rsidRPr="006C1A0F">
        <w:rPr>
          <w:rFonts w:eastAsia="PMingLiU"/>
          <w:bCs/>
          <w:iCs/>
          <w:sz w:val="18"/>
          <w:szCs w:val="18"/>
          <w:lang w:val="en-US"/>
        </w:rPr>
        <w:t>hybrid (blue) – Best DL beam not suffering MPE as UL beam (</w:t>
      </w:r>
      <w:r w:rsidRPr="006C1A0F">
        <w:rPr>
          <w:rFonts w:eastAsia="PMingLiU"/>
          <w:color w:val="0070C0"/>
          <w:sz w:val="18"/>
          <w:szCs w:val="18"/>
          <w:lang w:val="en-US"/>
        </w:rPr>
        <w:t>with MPE mitigation</w:t>
      </w:r>
      <w:r w:rsidRPr="006C1A0F">
        <w:rPr>
          <w:rFonts w:eastAsia="PMingLiU"/>
          <w:bCs/>
          <w:iCs/>
          <w:sz w:val="18"/>
          <w:szCs w:val="18"/>
          <w:lang w:val="en-US"/>
        </w:rPr>
        <w:t>)</w:t>
      </w:r>
    </w:p>
    <w:p w14:paraId="317C03FF" w14:textId="77777777" w:rsidR="006C1A0F" w:rsidRPr="006C1A0F" w:rsidRDefault="006C1A0F" w:rsidP="004A49B3">
      <w:pPr>
        <w:numPr>
          <w:ilvl w:val="0"/>
          <w:numId w:val="5"/>
        </w:numPr>
        <w:spacing w:after="200"/>
        <w:rPr>
          <w:rFonts w:eastAsia="PMingLiU"/>
          <w:bCs/>
          <w:iCs/>
          <w:sz w:val="18"/>
          <w:szCs w:val="18"/>
          <w:lang w:val="en-US"/>
        </w:rPr>
      </w:pPr>
      <w:r w:rsidRPr="006C1A0F">
        <w:rPr>
          <w:rFonts w:eastAsia="PMingLiU"/>
          <w:bCs/>
          <w:iCs/>
          <w:sz w:val="18"/>
          <w:szCs w:val="18"/>
          <w:lang w:val="en-US"/>
        </w:rPr>
        <w:t>noMPE (red) – Same as Scheme 1 but without max UL power reduction (</w:t>
      </w:r>
      <w:r w:rsidRPr="006C1A0F">
        <w:rPr>
          <w:rFonts w:eastAsia="PMingLiU"/>
          <w:bCs/>
          <w:iCs/>
          <w:color w:val="FF0000"/>
          <w:sz w:val="18"/>
          <w:szCs w:val="18"/>
          <w:lang w:val="en-US"/>
        </w:rPr>
        <w:t>ideal reference</w:t>
      </w:r>
      <w:r w:rsidRPr="006C1A0F">
        <w:rPr>
          <w:rFonts w:eastAsia="PMingLiU"/>
          <w:bCs/>
          <w:iCs/>
          <w:sz w:val="18"/>
          <w:szCs w:val="18"/>
          <w:lang w:val="en-US"/>
        </w:rPr>
        <w:t>)</w:t>
      </w:r>
    </w:p>
    <w:p w14:paraId="7DB2208F" w14:textId="33330358" w:rsidR="006C1A0F" w:rsidRPr="006C1A0F" w:rsidRDefault="006C1A0F" w:rsidP="006C1A0F">
      <w:pPr>
        <w:jc w:val="both"/>
      </w:pPr>
      <w:r w:rsidRPr="006C1A0F">
        <w:t xml:space="preserve">The CDFs of UE mean throughput, median SNR, median SINR are plotted in Figure </w:t>
      </w:r>
      <w:r w:rsidR="006C478E">
        <w:t>4</w:t>
      </w:r>
      <w:r w:rsidRPr="006C1A0F">
        <w:t xml:space="preserve"> for the following 3 schemes. Compared with the scheme without MPE mitigation (green), the scheme with MPE mitigation (blue) improves all metrics by selecting the best DL beam not suffering MPE as the UL beam, which enhances the UL performance significantly. The throughput gain with MPE mitigation is summarized in Table 2, where for the 5%ile TPUT gain: 250% in general, 2000% for suffering UEs, and for the mean TPUT gain: 62% in general, 96% for suffering UEs. Meanwhile, the CDF of UE path loss is plotted in Figure </w:t>
      </w:r>
      <w:r w:rsidR="00BB17B7">
        <w:t>4</w:t>
      </w:r>
      <w:r w:rsidRPr="006C1A0F">
        <w:t xml:space="preserve"> as well for calibration purpose.  </w:t>
      </w:r>
    </w:p>
    <w:p w14:paraId="359818F1" w14:textId="77777777" w:rsidR="006C1A0F" w:rsidRPr="006C1A0F" w:rsidRDefault="006C1A0F" w:rsidP="006C1A0F">
      <w:pPr>
        <w:jc w:val="both"/>
        <w:rPr>
          <w:b/>
          <w:lang w:eastAsia="ja-JP"/>
        </w:rPr>
      </w:pPr>
      <w:r w:rsidRPr="006C1A0F">
        <w:rPr>
          <w:b/>
          <w:u w:val="single"/>
          <w:lang w:eastAsia="ja-JP"/>
        </w:rPr>
        <w:t>Observation 2</w:t>
      </w:r>
      <w:r w:rsidRPr="006C1A0F">
        <w:rPr>
          <w:b/>
          <w:lang w:eastAsia="ja-JP"/>
        </w:rPr>
        <w:t>: Throughput improvement can be observed with MPE mitigation in dense urban scenario.</w:t>
      </w:r>
    </w:p>
    <w:p w14:paraId="2701AD4B" w14:textId="77777777" w:rsidR="006C1A0F" w:rsidRPr="006C1A0F" w:rsidRDefault="006C1A0F" w:rsidP="004A49B3">
      <w:pPr>
        <w:numPr>
          <w:ilvl w:val="0"/>
          <w:numId w:val="4"/>
        </w:numPr>
        <w:spacing w:after="0"/>
        <w:jc w:val="both"/>
        <w:rPr>
          <w:rFonts w:eastAsia="PMingLiU"/>
          <w:b/>
          <w:lang w:val="en-US" w:eastAsia="ja-JP"/>
        </w:rPr>
      </w:pPr>
      <w:r w:rsidRPr="006C1A0F">
        <w:rPr>
          <w:rFonts w:eastAsia="PMingLiU"/>
          <w:b/>
          <w:lang w:val="en-US" w:eastAsia="ja-JP"/>
        </w:rPr>
        <w:t>5%ile TPUT gain is 250%; mean UE TPUT gain is 63%.</w:t>
      </w:r>
    </w:p>
    <w:p w14:paraId="0661E4A0" w14:textId="408BF1EB"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6" w:name="_Hlk68340179"/>
      <w:bookmarkStart w:id="17" w:name="_Hlk54342831"/>
      <w:r w:rsidRPr="006C1A0F">
        <w:rPr>
          <w:rFonts w:ascii="Arial" w:eastAsiaTheme="minorEastAsia" w:hAnsi="Arial" w:cs="Arial"/>
          <w:sz w:val="32"/>
          <w:szCs w:val="32"/>
          <w:lang w:eastAsia="zh-CN"/>
        </w:rPr>
        <w:t>Issue 6</w:t>
      </w:r>
      <w:r w:rsidR="005E148F">
        <w:rPr>
          <w:rFonts w:ascii="Arial" w:eastAsiaTheme="minorEastAsia" w:hAnsi="Arial" w:cs="Arial"/>
          <w:sz w:val="32"/>
          <w:szCs w:val="32"/>
          <w:lang w:eastAsia="zh-CN"/>
        </w:rPr>
        <w:t>.1</w:t>
      </w:r>
      <w:r w:rsidRPr="006C1A0F">
        <w:rPr>
          <w:rFonts w:ascii="Arial" w:eastAsiaTheme="minorEastAsia" w:hAnsi="Arial" w:cs="Arial"/>
          <w:sz w:val="32"/>
          <w:szCs w:val="32"/>
          <w:lang w:eastAsia="zh-CN"/>
        </w:rPr>
        <w:t xml:space="preserve"> – </w:t>
      </w:r>
      <w:r w:rsidR="005E148F">
        <w:rPr>
          <w:rFonts w:ascii="Arial" w:eastAsiaTheme="minorEastAsia" w:hAnsi="Arial" w:cs="Arial"/>
          <w:sz w:val="32"/>
          <w:szCs w:val="32"/>
          <w:lang w:eastAsia="zh-CN"/>
        </w:rPr>
        <w:t xml:space="preserve">BM with Reduced DL Signalling </w:t>
      </w:r>
      <w:r w:rsidR="001E382D">
        <w:rPr>
          <w:rFonts w:ascii="Arial" w:eastAsiaTheme="minorEastAsia" w:hAnsi="Arial" w:cs="Arial"/>
          <w:sz w:val="32"/>
          <w:szCs w:val="32"/>
          <w:lang w:eastAsia="zh-CN"/>
        </w:rPr>
        <w:t>to Reduce</w:t>
      </w:r>
      <w:r w:rsidR="005E148F">
        <w:rPr>
          <w:rFonts w:ascii="Arial" w:eastAsiaTheme="minorEastAsia" w:hAnsi="Arial" w:cs="Arial"/>
          <w:sz w:val="32"/>
          <w:szCs w:val="32"/>
          <w:lang w:eastAsia="zh-CN"/>
        </w:rPr>
        <w:t xml:space="preserve"> Latency</w:t>
      </w:r>
    </w:p>
    <w:bookmarkEnd w:id="16"/>
    <w:p w14:paraId="333DFB84" w14:textId="6EEC0D03" w:rsidR="008F7154" w:rsidRDefault="008F7154" w:rsidP="008F7154">
      <w:pPr>
        <w:jc w:val="both"/>
      </w:pPr>
      <w:r>
        <w:t xml:space="preserve">As agreed in RAN1 #104e, group 1 in Issue 6 will discuss beam management with reduced DL signalling to reduce latency. The corresponding proposals are described below. </w:t>
      </w:r>
    </w:p>
    <w:p w14:paraId="08A1DAD8" w14:textId="39185049" w:rsidR="008F7154" w:rsidRDefault="00566861" w:rsidP="008F7154">
      <w:pPr>
        <w:jc w:val="both"/>
      </w:pPr>
      <w:bookmarkStart w:id="18" w:name="_Hlk78636405"/>
      <w:r>
        <w:lastRenderedPageBreak/>
        <w:t>To reduce DCI overhead and scheduling latency, the same DCI for unified TCI indication can be reused to trigger aperiodic or semi-persistent beam measurement and report</w:t>
      </w:r>
      <w:r w:rsidR="008F7154" w:rsidRPr="006C1A0F">
        <w:t>.</w:t>
      </w:r>
      <w:r w:rsidR="00E52ECA">
        <w:t xml:space="preserve"> Without using any bit in the DCI while maintaining flexibility, gNB can configure linkage between each TCI state and the associated trigger state for aperiodic measurement or the associated report config ID for semi-persistent measurement. In this way, gNB can flexibly indicate the desired measurement/report associated with the beam update, e.g. AP/SP P2, P3, TRS, CSI feedback. Furthermore, in case of AP beam report, the report can be multiplexed on the same PUCCH carrying A/N for the PDSCH or the beam indication DCI. </w:t>
      </w:r>
      <w:r w:rsidR="00896149">
        <w:t>This can save any new signalling for the allocation of the reporting resource.</w:t>
      </w:r>
    </w:p>
    <w:bookmarkEnd w:id="18"/>
    <w:p w14:paraId="46D649FF" w14:textId="625CE9E8" w:rsidR="004C4789" w:rsidRDefault="004C4789" w:rsidP="004C4789">
      <w:pPr>
        <w:jc w:val="both"/>
        <w:rPr>
          <w:b/>
        </w:rPr>
      </w:pPr>
      <w:r w:rsidRPr="006D0FFA">
        <w:rPr>
          <w:b/>
          <w:u w:val="single"/>
        </w:rPr>
        <w:t xml:space="preserve">Proposal </w:t>
      </w:r>
      <w:r w:rsidR="00287744" w:rsidRPr="006D0FFA">
        <w:rPr>
          <w:b/>
          <w:u w:val="single"/>
        </w:rPr>
        <w:t>32</w:t>
      </w:r>
      <w:r w:rsidRPr="006D4B4E">
        <w:rPr>
          <w:b/>
        </w:rPr>
        <w:t>: Support</w:t>
      </w:r>
      <w:r w:rsidRPr="008F7154">
        <w:rPr>
          <w:b/>
        </w:rPr>
        <w:t xml:space="preserve"> </w:t>
      </w:r>
      <w:r>
        <w:rPr>
          <w:b/>
        </w:rPr>
        <w:t xml:space="preserve">TCI updating DCI triggered beam measurement and report, whose config is determined by a </w:t>
      </w:r>
      <w:r w:rsidRPr="009E3DCE">
        <w:rPr>
          <w:b/>
          <w:i/>
          <w:iCs/>
        </w:rPr>
        <w:t>CSI-AperiodicTriggerState</w:t>
      </w:r>
      <w:r w:rsidRPr="009E3DCE">
        <w:rPr>
          <w:b/>
        </w:rPr>
        <w:t xml:space="preserve"> </w:t>
      </w:r>
      <w:r>
        <w:rPr>
          <w:b/>
        </w:rPr>
        <w:t xml:space="preserve">codepoint or a </w:t>
      </w:r>
      <w:r w:rsidRPr="00BE422D">
        <w:rPr>
          <w:b/>
          <w:i/>
          <w:iCs/>
        </w:rPr>
        <w:t>CSI-ReportConfigId</w:t>
      </w:r>
      <w:r>
        <w:rPr>
          <w:b/>
        </w:rPr>
        <w:t xml:space="preserve"> linked to the updated TCI state.</w:t>
      </w:r>
    </w:p>
    <w:p w14:paraId="25E19554" w14:textId="4B47D9C8" w:rsidR="004C4789" w:rsidRDefault="004C4789" w:rsidP="004C4789">
      <w:pPr>
        <w:numPr>
          <w:ilvl w:val="0"/>
          <w:numId w:val="4"/>
        </w:numPr>
        <w:rPr>
          <w:rFonts w:eastAsia="Times New Roman"/>
          <w:b/>
        </w:rPr>
      </w:pPr>
      <w:r w:rsidRPr="00134B63">
        <w:rPr>
          <w:rFonts w:eastAsia="Times New Roman"/>
          <w:b/>
        </w:rPr>
        <w:t xml:space="preserve">The linked </w:t>
      </w:r>
      <w:r w:rsidRPr="009E3DCE">
        <w:rPr>
          <w:b/>
          <w:i/>
          <w:iCs/>
        </w:rPr>
        <w:t>CSI-AperiodicTriggerState</w:t>
      </w:r>
      <w:r w:rsidRPr="009E3DCE">
        <w:rPr>
          <w:b/>
        </w:rPr>
        <w:t xml:space="preserve"> </w:t>
      </w:r>
      <w:r>
        <w:rPr>
          <w:b/>
        </w:rPr>
        <w:t xml:space="preserve">codepoint or </w:t>
      </w:r>
      <w:r w:rsidRPr="00BE422D">
        <w:rPr>
          <w:rFonts w:eastAsia="Times New Roman"/>
          <w:b/>
          <w:i/>
          <w:iCs/>
        </w:rPr>
        <w:t>CSI-ReportConfigId</w:t>
      </w:r>
      <w:r w:rsidRPr="00BE422D">
        <w:rPr>
          <w:rFonts w:eastAsia="Times New Roman"/>
          <w:b/>
        </w:rPr>
        <w:t xml:space="preserve"> </w:t>
      </w:r>
      <w:r w:rsidRPr="00134B63">
        <w:rPr>
          <w:rFonts w:eastAsia="Times New Roman"/>
          <w:b/>
        </w:rPr>
        <w:t xml:space="preserve">can be configured in the </w:t>
      </w:r>
      <w:r>
        <w:rPr>
          <w:rFonts w:eastAsia="Times New Roman"/>
          <w:b/>
        </w:rPr>
        <w:t xml:space="preserve">corresponding </w:t>
      </w:r>
      <w:r w:rsidRPr="00134B63">
        <w:rPr>
          <w:rFonts w:eastAsia="Times New Roman"/>
          <w:b/>
        </w:rPr>
        <w:t xml:space="preserve">TCI </w:t>
      </w:r>
      <w:r>
        <w:rPr>
          <w:rFonts w:eastAsia="Times New Roman"/>
          <w:b/>
        </w:rPr>
        <w:t xml:space="preserve">state </w:t>
      </w:r>
      <w:r w:rsidRPr="00134B63">
        <w:rPr>
          <w:rFonts w:eastAsia="Times New Roman"/>
          <w:b/>
        </w:rPr>
        <w:t xml:space="preserve">IE. </w:t>
      </w:r>
    </w:p>
    <w:p w14:paraId="1E7AADA4" w14:textId="77777777" w:rsidR="00066631" w:rsidRDefault="00066631" w:rsidP="00066631">
      <w:pPr>
        <w:ind w:left="720"/>
        <w:rPr>
          <w:rFonts w:eastAsia="Times New Roman"/>
          <w:b/>
        </w:rPr>
      </w:pPr>
    </w:p>
    <w:p w14:paraId="1576D51D" w14:textId="77777777" w:rsidR="00066631" w:rsidRPr="00066631" w:rsidRDefault="00066631" w:rsidP="00066631">
      <w:pPr>
        <w:jc w:val="both"/>
      </w:pPr>
      <w:r w:rsidRPr="00066631">
        <w:rPr>
          <w:noProof/>
        </w:rPr>
        <w:drawing>
          <wp:inline distT="0" distB="0" distL="0" distR="0" wp14:anchorId="7AAB85B4" wp14:editId="21354AE5">
            <wp:extent cx="5930900" cy="80925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38134" cy="823886"/>
                    </a:xfrm>
                    <a:prstGeom prst="rect">
                      <a:avLst/>
                    </a:prstGeom>
                    <a:noFill/>
                  </pic:spPr>
                </pic:pic>
              </a:graphicData>
            </a:graphic>
          </wp:inline>
        </w:drawing>
      </w:r>
    </w:p>
    <w:p w14:paraId="26A6855A" w14:textId="4A5BBE99" w:rsidR="00066631" w:rsidRPr="002E1321" w:rsidRDefault="00066631" w:rsidP="002E1321">
      <w:pPr>
        <w:jc w:val="center"/>
        <w:rPr>
          <w:b/>
          <w:iCs/>
        </w:rPr>
      </w:pPr>
      <w:r w:rsidRPr="00066631">
        <w:rPr>
          <w:b/>
          <w:iCs/>
        </w:rPr>
        <w:t xml:space="preserve">Figure </w:t>
      </w:r>
      <w:r w:rsidR="00705B86">
        <w:rPr>
          <w:b/>
          <w:iCs/>
        </w:rPr>
        <w:t>5</w:t>
      </w:r>
      <w:r w:rsidRPr="00066631">
        <w:rPr>
          <w:b/>
          <w:iCs/>
        </w:rPr>
        <w:t>: Beam Indication DCI Triggered Beam Report: Left- AP report; Right- SP report</w:t>
      </w:r>
    </w:p>
    <w:p w14:paraId="7D966BB8" w14:textId="52A251BC" w:rsidR="005306A3" w:rsidRPr="002E1321" w:rsidRDefault="005306A3" w:rsidP="002E1321">
      <w:pPr>
        <w:jc w:val="both"/>
      </w:pPr>
      <w:r w:rsidRPr="005306A3">
        <w:t xml:space="preserve">To further reduce the beam update </w:t>
      </w:r>
      <w:r w:rsidR="0075378D">
        <w:t xml:space="preserve">overhead and </w:t>
      </w:r>
      <w:r w:rsidRPr="005306A3">
        <w:t xml:space="preserve">latency especially in high mobility scenario, </w:t>
      </w:r>
      <w:r w:rsidR="0075378D">
        <w:t xml:space="preserve">a unified TCI state </w:t>
      </w:r>
      <w:r w:rsidRPr="005306A3">
        <w:t xml:space="preserve">can be implicitly </w:t>
      </w:r>
      <w:r w:rsidR="0075378D">
        <w:t>selected</w:t>
      </w:r>
      <w:r w:rsidRPr="005306A3">
        <w:t xml:space="preserve"> via the beam report, e.g. the</w:t>
      </w:r>
      <w:r w:rsidR="0075378D">
        <w:t xml:space="preserve"> unified TCI state whose QCL-TypeD RS is the same as the</w:t>
      </w:r>
      <w:r w:rsidRPr="005306A3">
        <w:t xml:space="preserve"> </w:t>
      </w:r>
      <w:r w:rsidR="0075378D">
        <w:t>1</w:t>
      </w:r>
      <w:r w:rsidR="0075378D" w:rsidRPr="0075378D">
        <w:rPr>
          <w:vertAlign w:val="superscript"/>
        </w:rPr>
        <w:t>st</w:t>
      </w:r>
      <w:r w:rsidR="0075378D">
        <w:t xml:space="preserve"> </w:t>
      </w:r>
      <w:r w:rsidRPr="005306A3">
        <w:t xml:space="preserve">reported </w:t>
      </w:r>
      <w:r w:rsidR="0075378D">
        <w:t>DL RS</w:t>
      </w:r>
      <w:r w:rsidRPr="005306A3">
        <w:t xml:space="preserve"> will be used </w:t>
      </w:r>
      <w:r w:rsidR="0075378D">
        <w:t>to update</w:t>
      </w:r>
      <w:r w:rsidRPr="005306A3">
        <w:t xml:space="preserve"> the common beam </w:t>
      </w:r>
      <w:r w:rsidR="0075378D">
        <w:t xml:space="preserve">for the applicable channels/RSs </w:t>
      </w:r>
      <w:r w:rsidRPr="005306A3">
        <w:t>after the report.</w:t>
      </w:r>
      <w:r w:rsidR="0075378D">
        <w:t xml:space="preserve"> However, beam update misalignment may happen when the beam report is not successfully received by gNB. A simple solution could be that gNB will send beam indication DCI within X ms after the expected report if gNB does not receive the report or prefers to use a different beam. </w:t>
      </w:r>
      <w:r w:rsidR="00DD459B">
        <w:t>If no beam indication DCI is received within X ms after the report, UE can assume the report has been successfully received and apply the TCI state selected via the report.</w:t>
      </w:r>
    </w:p>
    <w:p w14:paraId="5A2A7B40" w14:textId="700821CF" w:rsidR="004C4789" w:rsidRDefault="004C4789" w:rsidP="004C4789">
      <w:pPr>
        <w:jc w:val="both"/>
        <w:rPr>
          <w:b/>
        </w:rPr>
      </w:pPr>
      <w:bookmarkStart w:id="19" w:name="_Hlk78645493"/>
      <w:r w:rsidRPr="006D0FFA">
        <w:rPr>
          <w:b/>
          <w:u w:val="single"/>
        </w:rPr>
        <w:t xml:space="preserve">Proposal </w:t>
      </w:r>
      <w:r w:rsidR="00705B86" w:rsidRPr="006D0FFA">
        <w:rPr>
          <w:b/>
          <w:u w:val="single"/>
        </w:rPr>
        <w:t>33</w:t>
      </w:r>
      <w:r w:rsidRPr="00F70A66">
        <w:rPr>
          <w:b/>
        </w:rPr>
        <w:t xml:space="preserve">: </w:t>
      </w:r>
      <w:r w:rsidRPr="00462406">
        <w:rPr>
          <w:b/>
        </w:rPr>
        <w:t>For a transmitted</w:t>
      </w:r>
      <w:r>
        <w:rPr>
          <w:b/>
        </w:rPr>
        <w:t xml:space="preserve"> beam report, the unified TCI state corresponding to the best reported metric will be applied to the applicable channels/RSs, if no DCI updating the TCI state for the same applicable channels/RSs is received within X ms after the end of the beam report. </w:t>
      </w:r>
    </w:p>
    <w:bookmarkEnd w:id="19"/>
    <w:p w14:paraId="331D7BF9" w14:textId="77777777" w:rsidR="002E1321" w:rsidRPr="006C1A0F" w:rsidRDefault="002E1321" w:rsidP="002E1321">
      <w:pPr>
        <w:jc w:val="center"/>
      </w:pPr>
      <w:r w:rsidRPr="006C1A0F">
        <w:rPr>
          <w:noProof/>
          <w:lang w:eastAsia="ja-JP"/>
        </w:rPr>
        <w:drawing>
          <wp:inline distT="0" distB="0" distL="0" distR="0" wp14:anchorId="1A25E2EA" wp14:editId="3A7ED950">
            <wp:extent cx="5241908" cy="1834458"/>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57032" cy="1839751"/>
                    </a:xfrm>
                    <a:prstGeom prst="rect">
                      <a:avLst/>
                    </a:prstGeom>
                    <a:noFill/>
                  </pic:spPr>
                </pic:pic>
              </a:graphicData>
            </a:graphic>
          </wp:inline>
        </w:drawing>
      </w:r>
    </w:p>
    <w:p w14:paraId="0D29DD92" w14:textId="77777777" w:rsidR="002E1321" w:rsidRPr="001E5415" w:rsidRDefault="002E1321" w:rsidP="002E1321">
      <w:pPr>
        <w:spacing w:after="200"/>
        <w:jc w:val="center"/>
        <w:rPr>
          <w:b/>
          <w:iCs/>
          <w:szCs w:val="22"/>
        </w:rPr>
      </w:pPr>
      <w:r w:rsidRPr="006C1A0F">
        <w:rPr>
          <w:b/>
          <w:iCs/>
          <w:szCs w:val="22"/>
        </w:rPr>
        <w:t xml:space="preserve">Figure </w:t>
      </w:r>
      <w:r>
        <w:rPr>
          <w:b/>
          <w:iCs/>
          <w:szCs w:val="22"/>
        </w:rPr>
        <w:t>6</w:t>
      </w:r>
      <w:r w:rsidRPr="006C1A0F">
        <w:rPr>
          <w:b/>
          <w:iCs/>
          <w:szCs w:val="22"/>
        </w:rPr>
        <w:t>: Implicit Beam Update via L1 Report</w:t>
      </w:r>
    </w:p>
    <w:p w14:paraId="4959484F" w14:textId="23530EA1" w:rsidR="002E1321" w:rsidRPr="00630EFE" w:rsidRDefault="00630EFE" w:rsidP="004C4789">
      <w:pPr>
        <w:jc w:val="both"/>
      </w:pPr>
      <w:r w:rsidRPr="00630EFE">
        <w:t xml:space="preserve">In </w:t>
      </w:r>
      <w:r>
        <w:t xml:space="preserve">R15/16, a single DCI can only trigger a single AP CSI-RS resource set with resources located within a slot. This </w:t>
      </w:r>
      <w:r w:rsidR="006726B1">
        <w:t xml:space="preserve">may </w:t>
      </w:r>
      <w:r>
        <w:t>limit the total number of candidate beams for measurement per trigger</w:t>
      </w:r>
      <w:r w:rsidR="006726B1">
        <w:t xml:space="preserve"> state</w:t>
      </w:r>
      <w:r>
        <w:t xml:space="preserve">. </w:t>
      </w:r>
      <w:r w:rsidR="00A44AB1">
        <w:t>Without increasing</w:t>
      </w:r>
      <w:r>
        <w:t xml:space="preserve"> triggering DCI overhead and latency</w:t>
      </w:r>
      <w:r w:rsidR="00013ACD">
        <w:t xml:space="preserve"> while supporting more candidate measurement beams</w:t>
      </w:r>
      <w:r>
        <w:t xml:space="preserve">, one simple solution could be </w:t>
      </w:r>
      <w:r w:rsidR="006E5F9F">
        <w:t>for</w:t>
      </w:r>
      <w:r>
        <w:t xml:space="preserve"> a single DCI to trigger multiple AP CSI-RS resource sets whose triggering offsets can be staggered in time. </w:t>
      </w:r>
      <w:r w:rsidR="006E5F9F">
        <w:t xml:space="preserve">Another possibility is to allow the </w:t>
      </w:r>
      <w:r w:rsidR="00A44AB1">
        <w:t xml:space="preserve">AP CSI-RS </w:t>
      </w:r>
      <w:r w:rsidR="006E5F9F">
        <w:t>resources of a set to span across multiple slots. However, th</w:t>
      </w:r>
      <w:r w:rsidR="00A44AB1">
        <w:t xml:space="preserve">is </w:t>
      </w:r>
      <w:r w:rsidR="006E5F9F">
        <w:t xml:space="preserve">may need to introduce slot </w:t>
      </w:r>
      <w:r w:rsidR="006E5F9F">
        <w:lastRenderedPageBreak/>
        <w:t xml:space="preserve">index in addition to the existing symbol index for the resource location and, hence, may need more signalling change than simply linking multiple sets to the same trigger state. </w:t>
      </w:r>
    </w:p>
    <w:p w14:paraId="2AC727E2" w14:textId="55F08739" w:rsidR="004C4789" w:rsidRDefault="004C4789" w:rsidP="004C4789">
      <w:pPr>
        <w:jc w:val="both"/>
        <w:rPr>
          <w:b/>
        </w:rPr>
      </w:pPr>
      <w:r w:rsidRPr="006D0FFA">
        <w:rPr>
          <w:b/>
          <w:u w:val="single"/>
        </w:rPr>
        <w:t xml:space="preserve">Proposal </w:t>
      </w:r>
      <w:r w:rsidR="00B04693" w:rsidRPr="006D0FFA">
        <w:rPr>
          <w:b/>
          <w:u w:val="single"/>
        </w:rPr>
        <w:t>34</w:t>
      </w:r>
      <w:r w:rsidRPr="00462406">
        <w:rPr>
          <w:b/>
        </w:rPr>
        <w:t xml:space="preserve">: </w:t>
      </w:r>
      <w:r w:rsidRPr="004E733A">
        <w:rPr>
          <w:b/>
        </w:rPr>
        <w:t>Support</w:t>
      </w:r>
      <w:r>
        <w:rPr>
          <w:b/>
        </w:rPr>
        <w:t xml:space="preserve"> a single DCI triggering multiple AP CSI-RS resource sets. </w:t>
      </w:r>
    </w:p>
    <w:p w14:paraId="17E71C74" w14:textId="3BF3750B" w:rsidR="005E148F" w:rsidRPr="006C1A0F" w:rsidRDefault="005E148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6</w:t>
      </w:r>
      <w:r>
        <w:rPr>
          <w:rFonts w:ascii="Arial" w:eastAsiaTheme="minorEastAsia" w:hAnsi="Arial" w:cs="Arial"/>
          <w:sz w:val="32"/>
          <w:szCs w:val="32"/>
          <w:lang w:eastAsia="zh-CN"/>
        </w:rPr>
        <w:t>.2</w:t>
      </w:r>
      <w:r w:rsidRPr="006C1A0F">
        <w:rPr>
          <w:rFonts w:ascii="Arial" w:eastAsiaTheme="minorEastAsia" w:hAnsi="Arial" w:cs="Arial"/>
          <w:sz w:val="32"/>
          <w:szCs w:val="32"/>
          <w:lang w:eastAsia="zh-CN"/>
        </w:rPr>
        <w:t xml:space="preserve"> – </w:t>
      </w:r>
      <w:r w:rsidR="00C951DE">
        <w:rPr>
          <w:rFonts w:ascii="Arial" w:eastAsiaTheme="minorEastAsia" w:hAnsi="Arial" w:cs="Arial"/>
          <w:sz w:val="32"/>
          <w:szCs w:val="32"/>
          <w:lang w:eastAsia="zh-CN"/>
        </w:rPr>
        <w:t xml:space="preserve">MAC-CE Based </w:t>
      </w:r>
      <w:r>
        <w:rPr>
          <w:rFonts w:ascii="Arial" w:eastAsiaTheme="minorEastAsia" w:hAnsi="Arial" w:cs="Arial"/>
          <w:sz w:val="32"/>
          <w:szCs w:val="32"/>
          <w:lang w:eastAsia="zh-CN"/>
        </w:rPr>
        <w:t xml:space="preserve">TCI </w:t>
      </w:r>
      <w:r w:rsidR="00CE554F">
        <w:rPr>
          <w:rFonts w:ascii="Arial" w:eastAsiaTheme="minorEastAsia" w:hAnsi="Arial" w:cs="Arial"/>
          <w:sz w:val="32"/>
          <w:szCs w:val="32"/>
          <w:lang w:eastAsia="zh-CN"/>
        </w:rPr>
        <w:t xml:space="preserve">State </w:t>
      </w:r>
      <w:r>
        <w:rPr>
          <w:rFonts w:ascii="Arial" w:eastAsiaTheme="minorEastAsia" w:hAnsi="Arial" w:cs="Arial"/>
          <w:sz w:val="32"/>
          <w:szCs w:val="32"/>
          <w:lang w:eastAsia="zh-CN"/>
        </w:rPr>
        <w:t>&amp; PL RS Activation Latency Reduction</w:t>
      </w:r>
    </w:p>
    <w:p w14:paraId="609D8C43" w14:textId="6769CD65" w:rsidR="00745CFC" w:rsidRDefault="009F3212" w:rsidP="009A5A26">
      <w:pPr>
        <w:jc w:val="both"/>
      </w:pPr>
      <w:r>
        <w:t xml:space="preserve">In R15/16, </w:t>
      </w:r>
      <w:r w:rsidR="00745CFC">
        <w:t xml:space="preserve">the </w:t>
      </w:r>
      <w:r>
        <w:t xml:space="preserve">MAC-CE based TCI state activation latency </w:t>
      </w:r>
      <w:r w:rsidR="00745CFC">
        <w:t xml:space="preserve">defined in 38.133 requires additional latency till the next occasion of the corresponding SSB plus processing time if the target TCI state is not in the active TCI state list or is unknown. However, this latency may not be needed if the SSB has been recently measured with sufficient quality for time/frequency offset determination. Therefore, the latency </w:t>
      </w:r>
      <w:r w:rsidR="00CD64B0">
        <w:t>to wait for the next SSB occasion can be saved if the latest reported L1-RSRP of this SSB is within X ms before the ACK for the activation MAC-CE, and the reported L1-RSRP should satisfy a minimum threshold</w:t>
      </w:r>
      <w:r w:rsidR="0067503D">
        <w:t>. The threshold</w:t>
      </w:r>
      <w:r w:rsidR="00481B0D">
        <w:t xml:space="preserve"> </w:t>
      </w:r>
      <w:r w:rsidR="00CB1A08">
        <w:t xml:space="preserve">can be </w:t>
      </w:r>
      <w:r w:rsidR="00962305">
        <w:t>configured</w:t>
      </w:r>
      <w:r w:rsidR="00B234CE">
        <w:t xml:space="preserve"> by gNB or </w:t>
      </w:r>
      <w:r w:rsidR="00F973AA">
        <w:t xml:space="preserve">fixed in spec, </w:t>
      </w:r>
      <w:r w:rsidR="00CD64B0">
        <w:t xml:space="preserve">e.g. corresponding SNR should be </w:t>
      </w:r>
      <w:r w:rsidR="00CD64B0" w:rsidRPr="00CD64B0">
        <w:rPr>
          <w:rFonts w:ascii="Symbol" w:eastAsia="Symbol" w:hAnsi="Symbol" w:cs="Symbol"/>
        </w:rPr>
        <w:t>³</w:t>
      </w:r>
      <w:r w:rsidR="00CD64B0" w:rsidRPr="00CD64B0">
        <w:rPr>
          <w:rFonts w:eastAsia="Times New Roman"/>
        </w:rPr>
        <w:t xml:space="preserve"> -3dB</w:t>
      </w:r>
      <w:r w:rsidR="00CD64B0">
        <w:rPr>
          <w:rFonts w:eastAsia="Times New Roman"/>
        </w:rPr>
        <w:t xml:space="preserve">, which is a typical quality requirement in 38.133. </w:t>
      </w:r>
    </w:p>
    <w:p w14:paraId="1D0C345B" w14:textId="1252BB20" w:rsidR="004C4789" w:rsidRDefault="004C4789" w:rsidP="004C4789">
      <w:pPr>
        <w:jc w:val="both"/>
        <w:rPr>
          <w:b/>
        </w:rPr>
      </w:pPr>
      <w:r w:rsidRPr="006D0FFA">
        <w:rPr>
          <w:b/>
          <w:u w:val="single"/>
        </w:rPr>
        <w:t xml:space="preserve">Proposal </w:t>
      </w:r>
      <w:r w:rsidR="001C0797" w:rsidRPr="006D0FFA">
        <w:rPr>
          <w:b/>
          <w:u w:val="single"/>
        </w:rPr>
        <w:t>35</w:t>
      </w:r>
      <w:r w:rsidRPr="004E733A">
        <w:rPr>
          <w:b/>
        </w:rPr>
        <w:t>: For MAC</w:t>
      </w:r>
      <w:r w:rsidRPr="00B34764">
        <w:rPr>
          <w:b/>
        </w:rPr>
        <w:t>-CE based TCI state switch delay</w:t>
      </w:r>
      <w:r>
        <w:rPr>
          <w:b/>
        </w:rPr>
        <w:t xml:space="preserve"> defined in 38.133, the additional SSB waiting time can be saved if the SSB as the root QCL source of the activated TCI state satisfies the following condition:</w:t>
      </w:r>
    </w:p>
    <w:p w14:paraId="78414672" w14:textId="22905405" w:rsidR="004C4789" w:rsidRPr="00B34764" w:rsidRDefault="004C4789" w:rsidP="004C4789">
      <w:pPr>
        <w:numPr>
          <w:ilvl w:val="0"/>
          <w:numId w:val="4"/>
        </w:numPr>
        <w:rPr>
          <w:rFonts w:eastAsia="Times New Roman"/>
          <w:b/>
        </w:rPr>
      </w:pPr>
      <w:r w:rsidRPr="00B34764">
        <w:rPr>
          <w:rFonts w:eastAsia="Times New Roman"/>
          <w:b/>
        </w:rPr>
        <w:t>Th</w:t>
      </w:r>
      <w:r>
        <w:rPr>
          <w:rFonts w:eastAsia="Times New Roman"/>
          <w:b/>
        </w:rPr>
        <w:t>e latest reported L1-RSRP of this</w:t>
      </w:r>
      <w:r w:rsidRPr="00B34764">
        <w:rPr>
          <w:rFonts w:eastAsia="Times New Roman"/>
          <w:b/>
        </w:rPr>
        <w:t xml:space="preserve"> SSB </w:t>
      </w:r>
      <w:r>
        <w:rPr>
          <w:rFonts w:eastAsia="Times New Roman"/>
          <w:b/>
        </w:rPr>
        <w:t xml:space="preserve">is reported </w:t>
      </w:r>
      <w:r w:rsidRPr="00B34764">
        <w:rPr>
          <w:rFonts w:eastAsia="Times New Roman"/>
          <w:b/>
        </w:rPr>
        <w:t>within X ms before the end of ACK for the MAC-CE</w:t>
      </w:r>
      <w:r>
        <w:rPr>
          <w:rFonts w:eastAsia="Times New Roman"/>
          <w:b/>
        </w:rPr>
        <w:t xml:space="preserve"> and exceeds a minimum threshold, </w:t>
      </w:r>
      <w:r w:rsidR="008E4D25">
        <w:rPr>
          <w:rFonts w:eastAsia="Times New Roman"/>
          <w:b/>
        </w:rPr>
        <w:t xml:space="preserve">which can be </w:t>
      </w:r>
      <w:r w:rsidR="00962305">
        <w:rPr>
          <w:rFonts w:eastAsia="Times New Roman"/>
          <w:b/>
        </w:rPr>
        <w:t>configured</w:t>
      </w:r>
      <w:r w:rsidR="008E4D25">
        <w:rPr>
          <w:rFonts w:eastAsia="Times New Roman"/>
          <w:b/>
        </w:rPr>
        <w:t xml:space="preserve"> by gNB or fixed in spec, </w:t>
      </w:r>
      <w:r>
        <w:rPr>
          <w:rFonts w:eastAsia="Times New Roman"/>
          <w:b/>
        </w:rPr>
        <w:t xml:space="preserve">e.g. corresponding </w:t>
      </w:r>
      <w:r w:rsidR="00CD64B0">
        <w:rPr>
          <w:rFonts w:eastAsia="Times New Roman"/>
          <w:b/>
        </w:rPr>
        <w:t xml:space="preserve">to </w:t>
      </w:r>
      <w:r>
        <w:rPr>
          <w:rFonts w:eastAsia="Times New Roman"/>
          <w:b/>
        </w:rPr>
        <w:t xml:space="preserve">SNR </w:t>
      </w:r>
      <w:bookmarkStart w:id="20" w:name="_Hlk78642843"/>
      <w:r>
        <w:rPr>
          <w:rFonts w:ascii="Symbol" w:eastAsia="Symbol" w:hAnsi="Symbol" w:cs="Symbol"/>
          <w:b/>
        </w:rPr>
        <w:t>³</w:t>
      </w:r>
      <w:r>
        <w:rPr>
          <w:rFonts w:eastAsia="Times New Roman"/>
          <w:b/>
        </w:rPr>
        <w:t xml:space="preserve"> -3dB</w:t>
      </w:r>
      <w:bookmarkEnd w:id="20"/>
      <w:r>
        <w:rPr>
          <w:rFonts w:eastAsia="Times New Roman"/>
          <w:b/>
        </w:rPr>
        <w:t>.</w:t>
      </w:r>
    </w:p>
    <w:p w14:paraId="3778DCF3" w14:textId="35C97089" w:rsidR="00A5605F" w:rsidRPr="00A5605F" w:rsidRDefault="009E1AC6" w:rsidP="004C4789">
      <w:pPr>
        <w:jc w:val="both"/>
      </w:pPr>
      <w:r>
        <w:t xml:space="preserve">For MAC-CE based PL RS activation in R16, the MAC-CE has to be sent on each individual CC </w:t>
      </w:r>
      <w:r w:rsidR="009A3610">
        <w:t>to activate a new PL RS on that CC</w:t>
      </w:r>
      <w:r w:rsidR="00A5605F" w:rsidRPr="00A5605F">
        <w:t>.</w:t>
      </w:r>
      <w:r w:rsidR="009A3610">
        <w:t xml:space="preserve"> This is inefficient when the common beam is updated across multiple CCs, since individual MAC-CE has to be sent on every CC to activate corresponding PL RS. As a further enhancement to this feature, the same MAC-CE command can activate the PL RS on all CCs to save overhead and latency. Specifically, the same activated PL RS ID and the applied target SRI or SRS resource set ID as indicated by the MAC-CE can be applied to multiple CCs.</w:t>
      </w:r>
    </w:p>
    <w:p w14:paraId="7B3876E0" w14:textId="333A48D6" w:rsidR="004C4789" w:rsidRDefault="004C4789" w:rsidP="004C4789">
      <w:pPr>
        <w:jc w:val="both"/>
        <w:rPr>
          <w:b/>
        </w:rPr>
      </w:pPr>
      <w:bookmarkStart w:id="21" w:name="_Hlk78645660"/>
      <w:r w:rsidRPr="006D0FFA">
        <w:rPr>
          <w:b/>
          <w:u w:val="single"/>
        </w:rPr>
        <w:t xml:space="preserve">Proposal </w:t>
      </w:r>
      <w:r w:rsidR="00725C45" w:rsidRPr="006D0FFA">
        <w:rPr>
          <w:b/>
          <w:u w:val="single"/>
        </w:rPr>
        <w:t>36</w:t>
      </w:r>
      <w:r w:rsidRPr="004E733A">
        <w:rPr>
          <w:b/>
        </w:rPr>
        <w:t xml:space="preserve">: For </w:t>
      </w:r>
      <w:r w:rsidRPr="002629E2">
        <w:rPr>
          <w:b/>
        </w:rPr>
        <w:t>MAC-</w:t>
      </w:r>
      <w:r w:rsidRPr="00B34764">
        <w:rPr>
          <w:b/>
        </w:rPr>
        <w:t xml:space="preserve">CE based </w:t>
      </w:r>
      <w:r>
        <w:rPr>
          <w:b/>
        </w:rPr>
        <w:t xml:space="preserve">PL RS activation, the same activated PL RS ID and corresponding target SRI or SRS resource set ID </w:t>
      </w:r>
      <w:r w:rsidR="009A3610">
        <w:rPr>
          <w:b/>
        </w:rPr>
        <w:t xml:space="preserve">as </w:t>
      </w:r>
      <w:r>
        <w:rPr>
          <w:b/>
        </w:rPr>
        <w:t>indicated by the MAC-CE can be applied to multiple CCs.</w:t>
      </w:r>
    </w:p>
    <w:bookmarkEnd w:id="21"/>
    <w:p w14:paraId="43DAF765" w14:textId="73744A69" w:rsidR="00A5605F" w:rsidRPr="00A5605F" w:rsidRDefault="009A3610" w:rsidP="004C4789">
      <w:pPr>
        <w:jc w:val="both"/>
      </w:pPr>
      <w:r>
        <w:t xml:space="preserve">In R16, the application time for the </w:t>
      </w:r>
      <w:r w:rsidR="00EC6183">
        <w:t>PL RS activated by the MAC-CE is no later than 5 samples after the ACK for the MAC-CE</w:t>
      </w:r>
      <w:r w:rsidR="00A5605F" w:rsidRPr="00A5605F">
        <w:t>.</w:t>
      </w:r>
      <w:r w:rsidR="00EC6183">
        <w:t xml:space="preserve"> It would be beneficial to inform gNB if UE can satisfy the measurement accuracy with less samples, which can be reported via UE capability. One use case is that gNB can select the transmission time for the beam indication command such that the application time is aligned for both the beam indication and the corresponding PL RS. </w:t>
      </w:r>
    </w:p>
    <w:p w14:paraId="40356C22" w14:textId="1CD5747F" w:rsidR="004C4789" w:rsidRDefault="004C4789" w:rsidP="004C4789">
      <w:pPr>
        <w:jc w:val="both"/>
        <w:rPr>
          <w:b/>
        </w:rPr>
      </w:pPr>
      <w:r w:rsidRPr="006D0FFA">
        <w:rPr>
          <w:b/>
          <w:u w:val="single"/>
        </w:rPr>
        <w:t xml:space="preserve">Proposal </w:t>
      </w:r>
      <w:r w:rsidR="00BA3F5E" w:rsidRPr="006D0FFA">
        <w:rPr>
          <w:b/>
          <w:u w:val="single"/>
        </w:rPr>
        <w:t>37</w:t>
      </w:r>
      <w:r w:rsidRPr="004E733A">
        <w:rPr>
          <w:b/>
        </w:rPr>
        <w:t xml:space="preserve">: </w:t>
      </w:r>
      <w:r w:rsidRPr="002629E2">
        <w:rPr>
          <w:b/>
        </w:rPr>
        <w:t>For MAC</w:t>
      </w:r>
      <w:r w:rsidRPr="00B34764">
        <w:rPr>
          <w:b/>
        </w:rPr>
        <w:t xml:space="preserve">-CE based </w:t>
      </w:r>
      <w:r>
        <w:rPr>
          <w:b/>
        </w:rPr>
        <w:t>PL RS switch delay defined in 38.133, the fixed 5 samples can be replaced by the reported UE capability.</w:t>
      </w:r>
    </w:p>
    <w:bookmarkEnd w:id="4"/>
    <w:bookmarkEnd w:id="17"/>
    <w:p w14:paraId="2CEE9B99" w14:textId="77777777" w:rsidR="006C1A0F" w:rsidRPr="006C1A0F" w:rsidRDefault="006C1A0F" w:rsidP="0067354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8D4196B" w14:textId="77777777" w:rsidR="006C1A0F" w:rsidRPr="006C1A0F" w:rsidRDefault="006C1A0F" w:rsidP="006C1A0F">
      <w:pPr>
        <w:jc w:val="both"/>
        <w:rPr>
          <w:lang w:eastAsia="zh-CN"/>
        </w:rPr>
      </w:pPr>
      <w:r w:rsidRPr="006C1A0F">
        <w:rPr>
          <w:lang w:eastAsia="zh-CN"/>
        </w:rPr>
        <w:t>In this contribution we discussed enhancements for Rel-17 NR FeMIMO beam management. Below are the observations and proposals</w:t>
      </w:r>
    </w:p>
    <w:p w14:paraId="5BDFF9BB" w14:textId="77777777" w:rsidR="006C1A0F" w:rsidRPr="006C1A0F" w:rsidRDefault="006C1A0F" w:rsidP="006C1A0F">
      <w:pPr>
        <w:jc w:val="both"/>
        <w:rPr>
          <w:b/>
          <w:lang w:eastAsia="ja-JP"/>
        </w:rPr>
      </w:pPr>
      <w:r w:rsidRPr="006C1A0F">
        <w:rPr>
          <w:b/>
          <w:u w:val="single"/>
          <w:lang w:eastAsia="ja-JP"/>
        </w:rPr>
        <w:t>Observation 1</w:t>
      </w:r>
      <w:r w:rsidRPr="006C1A0F">
        <w:rPr>
          <w:b/>
          <w:lang w:eastAsia="ja-JP"/>
        </w:rPr>
        <w:t>: It can be observed that the median RSRP difference between L1 and L3 based mobility is 18 and 20 dB for UE speed of 60 and 120 kmph, respectively.</w:t>
      </w:r>
    </w:p>
    <w:p w14:paraId="3A7C6F4C" w14:textId="77777777" w:rsidR="006C1A0F" w:rsidRPr="006C1A0F" w:rsidRDefault="006C1A0F" w:rsidP="006C1A0F">
      <w:pPr>
        <w:jc w:val="both"/>
        <w:rPr>
          <w:b/>
          <w:lang w:eastAsia="ja-JP"/>
        </w:rPr>
      </w:pPr>
      <w:r w:rsidRPr="006C1A0F">
        <w:rPr>
          <w:b/>
          <w:u w:val="single"/>
          <w:lang w:eastAsia="ja-JP"/>
        </w:rPr>
        <w:t>Observation 2</w:t>
      </w:r>
      <w:r w:rsidRPr="006C1A0F">
        <w:rPr>
          <w:b/>
          <w:lang w:eastAsia="ja-JP"/>
        </w:rPr>
        <w:t>: Throughput improvement can be observed with MPE mitigation in dense urban scenario.</w:t>
      </w:r>
    </w:p>
    <w:p w14:paraId="52C693D2" w14:textId="77777777" w:rsidR="006C1A0F" w:rsidRPr="006C1A0F" w:rsidRDefault="006C1A0F" w:rsidP="004A49B3">
      <w:pPr>
        <w:numPr>
          <w:ilvl w:val="0"/>
          <w:numId w:val="4"/>
        </w:numPr>
        <w:spacing w:after="0"/>
        <w:jc w:val="both"/>
        <w:rPr>
          <w:rFonts w:eastAsia="PMingLiU"/>
          <w:b/>
          <w:lang w:val="en-US" w:eastAsia="ja-JP"/>
        </w:rPr>
      </w:pPr>
      <w:r w:rsidRPr="006C1A0F">
        <w:rPr>
          <w:rFonts w:eastAsia="PMingLiU"/>
          <w:b/>
          <w:lang w:val="en-US" w:eastAsia="ja-JP"/>
        </w:rPr>
        <w:t>5%ile TPUT gain is 250%; mean UE TPUT gain is 63%.</w:t>
      </w:r>
    </w:p>
    <w:p w14:paraId="2721B7A2" w14:textId="77777777" w:rsidR="006C1A0F" w:rsidRPr="006C1A0F" w:rsidRDefault="006C1A0F" w:rsidP="006C1A0F">
      <w:pPr>
        <w:spacing w:after="0"/>
        <w:ind w:left="720"/>
        <w:jc w:val="both"/>
        <w:rPr>
          <w:rFonts w:eastAsia="PMingLiU"/>
          <w:b/>
          <w:lang w:val="en-US" w:eastAsia="ja-JP"/>
        </w:rPr>
      </w:pPr>
    </w:p>
    <w:p w14:paraId="344026AA" w14:textId="77777777" w:rsidR="00B94832" w:rsidRDefault="00B94832" w:rsidP="00B94832">
      <w:pPr>
        <w:jc w:val="both"/>
        <w:rPr>
          <w:b/>
          <w:lang w:eastAsia="ja-JP"/>
        </w:rPr>
      </w:pPr>
      <w:r w:rsidRPr="00393471">
        <w:rPr>
          <w:b/>
          <w:u w:val="single"/>
          <w:lang w:eastAsia="ja-JP"/>
        </w:rPr>
        <w:t>Proposal 1</w:t>
      </w:r>
      <w:r w:rsidRPr="00393471">
        <w:rPr>
          <w:b/>
          <w:lang w:eastAsia="ja-JP"/>
        </w:rPr>
        <w:t>: Support</w:t>
      </w:r>
      <w:r w:rsidRPr="006C1A0F">
        <w:rPr>
          <w:b/>
          <w:lang w:eastAsia="ja-JP"/>
        </w:rPr>
        <w:t xml:space="preserve"> </w:t>
      </w:r>
      <w:r>
        <w:rPr>
          <w:b/>
          <w:lang w:eastAsia="ja-JP"/>
        </w:rPr>
        <w:t>M&gt;1 and N&gt;1 active joint or separate DL/UL TCI states</w:t>
      </w:r>
      <w:r w:rsidRPr="006C1A0F">
        <w:rPr>
          <w:b/>
          <w:lang w:eastAsia="ja-JP"/>
        </w:rPr>
        <w:t>.</w:t>
      </w:r>
    </w:p>
    <w:p w14:paraId="65A8326C" w14:textId="77777777" w:rsidR="00B94832" w:rsidRPr="006C1A0F" w:rsidRDefault="00B94832" w:rsidP="00B94832">
      <w:pPr>
        <w:jc w:val="both"/>
        <w:rPr>
          <w:b/>
          <w:lang w:eastAsia="ja-JP"/>
        </w:rPr>
      </w:pPr>
      <w:r w:rsidRPr="006C1A0F">
        <w:rPr>
          <w:b/>
          <w:u w:val="single"/>
          <w:lang w:eastAsia="ja-JP"/>
        </w:rPr>
        <w:t>Proposal 2</w:t>
      </w:r>
      <w:r w:rsidRPr="006C1A0F">
        <w:rPr>
          <w:b/>
          <w:lang w:eastAsia="ja-JP"/>
        </w:rPr>
        <w:t xml:space="preserve">: Support a common pool for all types of TCI states. </w:t>
      </w:r>
    </w:p>
    <w:p w14:paraId="0A27F9CE" w14:textId="77777777" w:rsidR="00790779" w:rsidRDefault="00790779" w:rsidP="00790779">
      <w:pPr>
        <w:jc w:val="both"/>
        <w:rPr>
          <w:rFonts w:eastAsia="PMingLiU"/>
          <w:b/>
          <w:lang w:val="en-US" w:eastAsia="ja-JP"/>
        </w:rPr>
      </w:pPr>
      <w:r>
        <w:rPr>
          <w:b/>
          <w:u w:val="single"/>
          <w:lang w:eastAsia="ja-JP"/>
        </w:rPr>
        <w:lastRenderedPageBreak/>
        <w:t>Proposal 3</w:t>
      </w:r>
      <w:r w:rsidRPr="00AF2984">
        <w:rPr>
          <w:b/>
          <w:lang w:eastAsia="ja-JP"/>
        </w:rPr>
        <w:t xml:space="preserve">: UE capability </w:t>
      </w:r>
      <w:r>
        <w:rPr>
          <w:b/>
          <w:lang w:eastAsia="ja-JP"/>
        </w:rPr>
        <w:t>of</w:t>
      </w:r>
      <w:r w:rsidRPr="00C15000">
        <w:rPr>
          <w:rFonts w:eastAsia="PMingLiU"/>
          <w:b/>
          <w:lang w:val="en-US" w:eastAsia="ja-JP"/>
        </w:rPr>
        <w:t xml:space="preserve"> </w:t>
      </w:r>
      <w:r>
        <w:rPr>
          <w:rFonts w:eastAsia="PMingLiU"/>
          <w:b/>
          <w:lang w:val="en-US" w:eastAsia="ja-JP"/>
        </w:rPr>
        <w:t>“</w:t>
      </w:r>
      <w:r w:rsidRPr="00C15000">
        <w:rPr>
          <w:rFonts w:eastAsia="PMingLiU"/>
          <w:b/>
          <w:lang w:val="en-US" w:eastAsia="ja-JP"/>
        </w:rPr>
        <w:t>beam misalignment</w:t>
      </w:r>
      <w:r>
        <w:rPr>
          <w:rFonts w:eastAsia="PMingLiU"/>
          <w:b/>
          <w:lang w:val="en-US" w:eastAsia="ja-JP"/>
        </w:rPr>
        <w:t>”</w:t>
      </w:r>
      <w:r w:rsidRPr="00C15000">
        <w:rPr>
          <w:rFonts w:eastAsia="PMingLiU"/>
          <w:b/>
          <w:lang w:val="en-US" w:eastAsia="ja-JP"/>
        </w:rPr>
        <w:t xml:space="preserve"> </w:t>
      </w:r>
      <w:r>
        <w:rPr>
          <w:rFonts w:eastAsia="PMingLiU"/>
          <w:b/>
          <w:lang w:val="en-US" w:eastAsia="ja-JP"/>
        </w:rPr>
        <w:t>is</w:t>
      </w:r>
      <w:r w:rsidRPr="00C15000">
        <w:rPr>
          <w:rFonts w:eastAsia="PMingLiU"/>
          <w:b/>
          <w:lang w:val="en-US" w:eastAsia="ja-JP"/>
        </w:rPr>
        <w:t xml:space="preserve"> defined </w:t>
      </w:r>
      <w:r>
        <w:rPr>
          <w:rFonts w:eastAsia="PMingLiU"/>
          <w:b/>
          <w:lang w:val="en-US" w:eastAsia="ja-JP"/>
        </w:rPr>
        <w:t>as below</w:t>
      </w:r>
    </w:p>
    <w:p w14:paraId="29FC2DB0" w14:textId="77777777" w:rsidR="007E2F9F" w:rsidRDefault="007E2F9F" w:rsidP="007E2F9F">
      <w:pPr>
        <w:numPr>
          <w:ilvl w:val="1"/>
          <w:numId w:val="4"/>
        </w:numPr>
        <w:spacing w:after="0"/>
        <w:jc w:val="both"/>
        <w:rPr>
          <w:rFonts w:eastAsia="PMingLiU"/>
          <w:b/>
          <w:lang w:val="en-US" w:eastAsia="ja-JP"/>
        </w:rPr>
      </w:pPr>
      <w:r>
        <w:rPr>
          <w:rFonts w:eastAsia="PMingLiU"/>
          <w:b/>
          <w:lang w:val="en-US" w:eastAsia="ja-JP"/>
        </w:rPr>
        <w:t>If the PL RS has QCL-TypeD source RS, beam misalignment is defined as the event that t</w:t>
      </w:r>
      <w:r w:rsidRPr="00CF1733">
        <w:rPr>
          <w:rFonts w:eastAsia="PMingLiU"/>
          <w:b/>
          <w:lang w:val="en-US" w:eastAsia="ja-JP"/>
        </w:rPr>
        <w:t xml:space="preserve">he spatial relation RS in the </w:t>
      </w:r>
      <w:r>
        <w:rPr>
          <w:rFonts w:eastAsia="PMingLiU"/>
          <w:b/>
          <w:lang w:val="en-US" w:eastAsia="ja-JP"/>
        </w:rPr>
        <w:t xml:space="preserve">UL or joint </w:t>
      </w:r>
      <w:r w:rsidRPr="00CF1733">
        <w:rPr>
          <w:rFonts w:eastAsia="PMingLiU"/>
          <w:b/>
          <w:lang w:val="en-US" w:eastAsia="ja-JP"/>
        </w:rPr>
        <w:t>TCI state is not the QCL-TypeD RS of the PL RS</w:t>
      </w:r>
      <w:r>
        <w:rPr>
          <w:rFonts w:eastAsia="PMingLiU"/>
          <w:b/>
          <w:lang w:val="en-US" w:eastAsia="ja-JP"/>
        </w:rPr>
        <w:t>.</w:t>
      </w:r>
    </w:p>
    <w:p w14:paraId="4A718B49" w14:textId="77777777" w:rsidR="007E2F9F" w:rsidRPr="005D5373" w:rsidRDefault="007E2F9F" w:rsidP="007E2F9F">
      <w:pPr>
        <w:numPr>
          <w:ilvl w:val="1"/>
          <w:numId w:val="4"/>
        </w:numPr>
        <w:spacing w:after="0"/>
        <w:jc w:val="both"/>
        <w:rPr>
          <w:rFonts w:eastAsia="PMingLiU"/>
          <w:b/>
          <w:lang w:val="en-US" w:eastAsia="ja-JP"/>
        </w:rPr>
      </w:pPr>
      <w:r>
        <w:rPr>
          <w:rFonts w:eastAsia="PMingLiU"/>
          <w:b/>
          <w:lang w:val="en-US" w:eastAsia="ja-JP"/>
        </w:rPr>
        <w:t>Otherwise, beam misalignment is defined as the event that t</w:t>
      </w:r>
      <w:r w:rsidRPr="006B0796">
        <w:rPr>
          <w:rFonts w:eastAsia="PMingLiU"/>
          <w:b/>
          <w:lang w:val="en-US" w:eastAsia="ja-JP"/>
        </w:rPr>
        <w:t xml:space="preserve">he spatial </w:t>
      </w:r>
      <w:r>
        <w:rPr>
          <w:rFonts w:eastAsia="PMingLiU"/>
          <w:b/>
          <w:lang w:val="en-US" w:eastAsia="ja-JP"/>
        </w:rPr>
        <w:t xml:space="preserve">relation </w:t>
      </w:r>
      <w:r w:rsidRPr="006B0796">
        <w:rPr>
          <w:rFonts w:eastAsia="PMingLiU"/>
          <w:b/>
          <w:lang w:val="en-US" w:eastAsia="ja-JP"/>
        </w:rPr>
        <w:t xml:space="preserve">RS in </w:t>
      </w:r>
      <w:r>
        <w:rPr>
          <w:rFonts w:eastAsia="PMingLiU"/>
          <w:b/>
          <w:lang w:val="en-US" w:eastAsia="ja-JP"/>
        </w:rPr>
        <w:t xml:space="preserve">the UL or joint </w:t>
      </w:r>
      <w:r w:rsidRPr="006B0796">
        <w:rPr>
          <w:rFonts w:eastAsia="PMingLiU"/>
          <w:b/>
          <w:lang w:val="en-US" w:eastAsia="ja-JP"/>
        </w:rPr>
        <w:t xml:space="preserve">TCI </w:t>
      </w:r>
      <w:r>
        <w:rPr>
          <w:rFonts w:eastAsia="PMingLiU"/>
          <w:b/>
          <w:lang w:val="en-US" w:eastAsia="ja-JP"/>
        </w:rPr>
        <w:t xml:space="preserve">state </w:t>
      </w:r>
      <w:r w:rsidRPr="006B0796">
        <w:rPr>
          <w:rFonts w:eastAsia="PMingLiU"/>
          <w:b/>
          <w:lang w:val="en-US" w:eastAsia="ja-JP"/>
        </w:rPr>
        <w:t>is not the PL RS</w:t>
      </w:r>
      <w:r>
        <w:rPr>
          <w:rFonts w:eastAsia="PMingLiU"/>
          <w:b/>
          <w:lang w:val="en-US" w:eastAsia="ja-JP"/>
        </w:rPr>
        <w:t xml:space="preserve"> itself.</w:t>
      </w:r>
    </w:p>
    <w:p w14:paraId="477E1412" w14:textId="77777777" w:rsidR="002F0F62" w:rsidRDefault="002F0F62" w:rsidP="002F0F62">
      <w:pPr>
        <w:spacing w:after="0"/>
        <w:ind w:left="1440"/>
        <w:jc w:val="both"/>
        <w:rPr>
          <w:rFonts w:eastAsia="PMingLiU"/>
          <w:b/>
          <w:lang w:val="en-US" w:eastAsia="ja-JP"/>
        </w:rPr>
      </w:pPr>
    </w:p>
    <w:p w14:paraId="0FEA33EB" w14:textId="77777777" w:rsidR="006D4556" w:rsidRDefault="006D4556" w:rsidP="006D4556">
      <w:pPr>
        <w:jc w:val="both"/>
        <w:rPr>
          <w:b/>
          <w:u w:val="single"/>
          <w:lang w:val="en-US" w:eastAsia="ja-JP"/>
        </w:rPr>
      </w:pPr>
      <w:r>
        <w:rPr>
          <w:b/>
          <w:u w:val="single"/>
          <w:lang w:val="en-US" w:eastAsia="ja-JP"/>
        </w:rPr>
        <w:t>Proposal 4</w:t>
      </w:r>
      <w:r w:rsidRPr="00807655">
        <w:rPr>
          <w:b/>
          <w:lang w:val="en-US" w:eastAsia="ja-JP"/>
        </w:rPr>
        <w:t xml:space="preserve">: </w:t>
      </w:r>
      <w:r>
        <w:rPr>
          <w:b/>
          <w:lang w:val="en-US" w:eastAsia="ja-JP"/>
        </w:rPr>
        <w:t>For PC parameters except for PL RS and for each of PUSCH and PUCCH</w:t>
      </w:r>
      <w:r w:rsidRPr="00807655">
        <w:rPr>
          <w:b/>
          <w:lang w:val="en-US" w:eastAsia="ja-JP"/>
        </w:rPr>
        <w:t xml:space="preserve">, both TCI </w:t>
      </w:r>
      <w:r>
        <w:rPr>
          <w:b/>
          <w:lang w:val="en-US" w:eastAsia="ja-JP"/>
        </w:rPr>
        <w:t>dependent and independent</w:t>
      </w:r>
      <w:r w:rsidRPr="00807655">
        <w:rPr>
          <w:b/>
          <w:lang w:val="en-US" w:eastAsia="ja-JP"/>
        </w:rPr>
        <w:t xml:space="preserve"> PC parameters can be configured</w:t>
      </w:r>
      <w:r>
        <w:rPr>
          <w:b/>
          <w:lang w:val="en-US" w:eastAsia="ja-JP"/>
        </w:rPr>
        <w:t xml:space="preserve"> simultaneously.</w:t>
      </w:r>
    </w:p>
    <w:p w14:paraId="26D67299" w14:textId="77777777" w:rsidR="006D4556" w:rsidRDefault="006D4556" w:rsidP="006D4556">
      <w:pPr>
        <w:numPr>
          <w:ilvl w:val="0"/>
          <w:numId w:val="4"/>
        </w:numPr>
        <w:spacing w:after="0"/>
        <w:jc w:val="both"/>
        <w:rPr>
          <w:rFonts w:eastAsia="PMingLiU"/>
          <w:b/>
          <w:lang w:val="en-US" w:eastAsia="ja-JP"/>
        </w:rPr>
      </w:pPr>
      <w:r>
        <w:rPr>
          <w:rFonts w:eastAsia="PMingLiU"/>
          <w:b/>
          <w:lang w:val="en-US" w:eastAsia="ja-JP"/>
        </w:rPr>
        <w:t xml:space="preserve">If an UL or joint </w:t>
      </w:r>
      <w:r w:rsidRPr="00807655">
        <w:rPr>
          <w:rFonts w:eastAsia="PMingLiU"/>
          <w:b/>
          <w:lang w:val="en-US" w:eastAsia="ja-JP"/>
        </w:rPr>
        <w:t xml:space="preserve">TCI </w:t>
      </w:r>
      <w:r>
        <w:rPr>
          <w:rFonts w:eastAsia="PMingLiU"/>
          <w:b/>
          <w:lang w:val="en-US" w:eastAsia="ja-JP"/>
        </w:rPr>
        <w:t xml:space="preserve">state has no associated </w:t>
      </w:r>
      <w:r w:rsidRPr="00807655">
        <w:rPr>
          <w:rFonts w:eastAsia="PMingLiU"/>
          <w:b/>
          <w:lang w:val="en-US" w:eastAsia="ja-JP"/>
        </w:rPr>
        <w:t xml:space="preserve">TCI </w:t>
      </w:r>
      <w:r>
        <w:rPr>
          <w:rFonts w:eastAsia="PMingLiU"/>
          <w:b/>
          <w:lang w:val="en-US" w:eastAsia="ja-JP"/>
        </w:rPr>
        <w:t>dependent</w:t>
      </w:r>
      <w:r w:rsidRPr="00807655">
        <w:rPr>
          <w:rFonts w:eastAsia="PMingLiU"/>
          <w:b/>
          <w:lang w:val="en-US" w:eastAsia="ja-JP"/>
        </w:rPr>
        <w:t xml:space="preserve"> PC parameters, it will use </w:t>
      </w:r>
      <w:r>
        <w:rPr>
          <w:rFonts w:eastAsia="PMingLiU"/>
          <w:b/>
          <w:lang w:val="en-US" w:eastAsia="ja-JP"/>
        </w:rPr>
        <w:t xml:space="preserve">the </w:t>
      </w:r>
      <w:r w:rsidRPr="00807655">
        <w:rPr>
          <w:rFonts w:eastAsia="PMingLiU"/>
          <w:b/>
          <w:lang w:val="en-US" w:eastAsia="ja-JP"/>
        </w:rPr>
        <w:t>TCI</w:t>
      </w:r>
      <w:r>
        <w:rPr>
          <w:rFonts w:eastAsia="PMingLiU"/>
          <w:b/>
          <w:lang w:val="en-US" w:eastAsia="ja-JP"/>
        </w:rPr>
        <w:t xml:space="preserve"> independent</w:t>
      </w:r>
      <w:r w:rsidRPr="00807655">
        <w:rPr>
          <w:rFonts w:eastAsia="PMingLiU"/>
          <w:b/>
          <w:lang w:val="en-US" w:eastAsia="ja-JP"/>
        </w:rPr>
        <w:t xml:space="preserve"> PC parameters. </w:t>
      </w:r>
    </w:p>
    <w:p w14:paraId="2D0362D2" w14:textId="77777777" w:rsidR="00F14E7F" w:rsidRDefault="00F14E7F" w:rsidP="00F14E7F">
      <w:pPr>
        <w:spacing w:after="0"/>
        <w:ind w:left="720"/>
        <w:jc w:val="both"/>
        <w:rPr>
          <w:rFonts w:eastAsia="PMingLiU"/>
          <w:b/>
          <w:lang w:val="en-US" w:eastAsia="ja-JP"/>
        </w:rPr>
      </w:pPr>
    </w:p>
    <w:p w14:paraId="59C2AECF" w14:textId="1BFB53F7" w:rsidR="00E75161" w:rsidRPr="006D4556" w:rsidRDefault="006D4556" w:rsidP="006D4556">
      <w:pPr>
        <w:jc w:val="both"/>
        <w:rPr>
          <w:b/>
          <w:lang w:val="en-US" w:eastAsia="ja-JP"/>
        </w:rPr>
      </w:pPr>
      <w:r>
        <w:rPr>
          <w:b/>
          <w:u w:val="single"/>
          <w:lang w:val="en-US" w:eastAsia="ja-JP"/>
        </w:rPr>
        <w:t>Proposal 5</w:t>
      </w:r>
      <w:r w:rsidRPr="00807655">
        <w:rPr>
          <w:b/>
          <w:lang w:val="en-US" w:eastAsia="ja-JP"/>
        </w:rPr>
        <w:t xml:space="preserve">: </w:t>
      </w:r>
      <w:r>
        <w:rPr>
          <w:b/>
          <w:lang w:val="en-US" w:eastAsia="ja-JP"/>
        </w:rPr>
        <w:t>Clarify whether the corresponding PC adjustment state should be reset when the associated PC parameters are updated for an UL or joint TCI state used for UL transmission.</w:t>
      </w:r>
      <w:r w:rsidR="00E75161" w:rsidRPr="00E75161">
        <w:rPr>
          <w:rFonts w:eastAsia="PMingLiU"/>
          <w:b/>
          <w:lang w:val="en-US" w:eastAsia="ja-JP"/>
        </w:rPr>
        <w:t xml:space="preserve"> </w:t>
      </w:r>
    </w:p>
    <w:p w14:paraId="5F587FF6" w14:textId="77777777" w:rsidR="006D4556" w:rsidRDefault="006D4556" w:rsidP="006D4556">
      <w:pPr>
        <w:jc w:val="both"/>
        <w:rPr>
          <w:b/>
          <w:lang w:eastAsia="ja-JP"/>
        </w:rPr>
      </w:pPr>
      <w:r>
        <w:rPr>
          <w:b/>
          <w:u w:val="single"/>
          <w:lang w:eastAsia="ja-JP"/>
        </w:rPr>
        <w:t>Proposal 6</w:t>
      </w:r>
      <w:r w:rsidRPr="00AF2984">
        <w:rPr>
          <w:b/>
          <w:lang w:eastAsia="ja-JP"/>
        </w:rPr>
        <w:t xml:space="preserve">: </w:t>
      </w:r>
      <w:r>
        <w:rPr>
          <w:b/>
          <w:lang w:eastAsia="ja-JP"/>
        </w:rPr>
        <w:t>Introduce UE capability of supporting configuration of either unified TCI states or R15/16 TCI states and spatial relations at a given time.</w:t>
      </w:r>
    </w:p>
    <w:p w14:paraId="56412583" w14:textId="77777777" w:rsidR="00B52935" w:rsidRDefault="00B52935" w:rsidP="00B52935">
      <w:pPr>
        <w:jc w:val="both"/>
        <w:rPr>
          <w:b/>
          <w:lang w:eastAsia="ja-JP"/>
        </w:rPr>
      </w:pPr>
      <w:r w:rsidRPr="00015973">
        <w:rPr>
          <w:b/>
          <w:u w:val="single"/>
          <w:lang w:eastAsia="ja-JP"/>
        </w:rPr>
        <w:t xml:space="preserve">Proposal </w:t>
      </w:r>
      <w:r>
        <w:rPr>
          <w:b/>
          <w:u w:val="single"/>
          <w:lang w:eastAsia="ja-JP"/>
        </w:rPr>
        <w:t>7</w:t>
      </w:r>
      <w:r w:rsidRPr="00015973">
        <w:rPr>
          <w:b/>
          <w:lang w:eastAsia="ja-JP"/>
        </w:rPr>
        <w:t xml:space="preserve">: For any DL RS that can be configured </w:t>
      </w:r>
      <w:r>
        <w:rPr>
          <w:b/>
          <w:lang w:eastAsia="ja-JP"/>
        </w:rPr>
        <w:t>with</w:t>
      </w:r>
      <w:r w:rsidRPr="00015973">
        <w:rPr>
          <w:b/>
          <w:lang w:eastAsia="ja-JP"/>
        </w:rPr>
        <w:t xml:space="preserve"> a R</w:t>
      </w:r>
      <w:r>
        <w:rPr>
          <w:b/>
          <w:lang w:eastAsia="ja-JP"/>
        </w:rPr>
        <w:t>17</w:t>
      </w:r>
      <w:r w:rsidRPr="00015973">
        <w:rPr>
          <w:b/>
          <w:lang w:eastAsia="ja-JP"/>
        </w:rPr>
        <w:t xml:space="preserve"> DL TCI</w:t>
      </w:r>
      <w:r>
        <w:rPr>
          <w:b/>
          <w:lang w:eastAsia="ja-JP"/>
        </w:rPr>
        <w:t xml:space="preserve"> state</w:t>
      </w:r>
      <w:r w:rsidRPr="00015973">
        <w:rPr>
          <w:b/>
          <w:lang w:eastAsia="ja-JP"/>
        </w:rPr>
        <w:t>, support reuse R15/16 TCI state configuration/(de)activation signalling.</w:t>
      </w:r>
    </w:p>
    <w:p w14:paraId="3A9A96BF" w14:textId="77777777" w:rsidR="00B52935" w:rsidRDefault="00B52935" w:rsidP="00B52935">
      <w:pPr>
        <w:jc w:val="both"/>
        <w:rPr>
          <w:b/>
          <w:lang w:eastAsia="ja-JP"/>
        </w:rPr>
      </w:pPr>
      <w:r w:rsidRPr="0045294D">
        <w:rPr>
          <w:b/>
          <w:u w:val="single"/>
          <w:lang w:eastAsia="ja-JP"/>
        </w:rPr>
        <w:t xml:space="preserve">Proposal </w:t>
      </w:r>
      <w:r>
        <w:rPr>
          <w:b/>
          <w:u w:val="single"/>
          <w:lang w:eastAsia="ja-JP"/>
        </w:rPr>
        <w:t>8</w:t>
      </w:r>
      <w:r w:rsidRPr="00B810B0">
        <w:rPr>
          <w:b/>
          <w:lang w:eastAsia="ja-JP"/>
        </w:rPr>
        <w:t>: Support UE capability to report maximum number of configured and activated TCI states across BWPs/CCs in a band.</w:t>
      </w:r>
    </w:p>
    <w:p w14:paraId="6FA31C6E" w14:textId="77777777" w:rsidR="00B52935" w:rsidRDefault="00B52935" w:rsidP="00B52935">
      <w:pPr>
        <w:jc w:val="both"/>
        <w:rPr>
          <w:b/>
          <w:lang w:eastAsia="ja-JP"/>
        </w:rPr>
      </w:pPr>
      <w:r w:rsidRPr="00B810B0">
        <w:rPr>
          <w:b/>
          <w:u w:val="single"/>
          <w:lang w:eastAsia="ja-JP"/>
        </w:rPr>
        <w:t xml:space="preserve">Proposal </w:t>
      </w:r>
      <w:r>
        <w:rPr>
          <w:b/>
          <w:u w:val="single"/>
          <w:lang w:eastAsia="ja-JP"/>
        </w:rPr>
        <w:t>9</w:t>
      </w:r>
      <w:r w:rsidRPr="00B810B0">
        <w:rPr>
          <w:b/>
          <w:lang w:eastAsia="ja-JP"/>
        </w:rPr>
        <w:t xml:space="preserve">: A single BWP/CC configured with a common TCI state pool shared by a list of CCs serves as the reference BWP/CC of the CC list. </w:t>
      </w:r>
    </w:p>
    <w:p w14:paraId="00C57849" w14:textId="77777777" w:rsidR="00B90F83" w:rsidRDefault="00B90F83" w:rsidP="00B90F83">
      <w:pPr>
        <w:jc w:val="both"/>
        <w:rPr>
          <w:b/>
          <w:lang w:val="en-US" w:eastAsia="ja-JP"/>
        </w:rPr>
      </w:pPr>
      <w:r>
        <w:rPr>
          <w:b/>
          <w:u w:val="single"/>
          <w:lang w:val="en-US" w:eastAsia="ja-JP"/>
        </w:rPr>
        <w:t>Proposal 10</w:t>
      </w:r>
      <w:r w:rsidRPr="00407ACD">
        <w:rPr>
          <w:b/>
          <w:lang w:val="en-US" w:eastAsia="ja-JP"/>
        </w:rPr>
        <w:t xml:space="preserve">: </w:t>
      </w:r>
      <w:r>
        <w:rPr>
          <w:b/>
          <w:lang w:val="en-US" w:eastAsia="ja-JP"/>
        </w:rPr>
        <w:t>For a common TCI state pool shared by multiple CCs, the PC parameters for a selected common TCI state ID on each target BWP/CC can be determined as below</w:t>
      </w:r>
    </w:p>
    <w:p w14:paraId="32A43720" w14:textId="77777777" w:rsidR="00B90F83" w:rsidRPr="006F5F84" w:rsidRDefault="00B90F83" w:rsidP="00B90F83">
      <w:pPr>
        <w:numPr>
          <w:ilvl w:val="0"/>
          <w:numId w:val="4"/>
        </w:numPr>
        <w:spacing w:after="0"/>
        <w:jc w:val="both"/>
        <w:rPr>
          <w:rFonts w:eastAsia="PMingLiU"/>
          <w:b/>
          <w:lang w:val="en-US" w:eastAsia="ja-JP"/>
        </w:rPr>
      </w:pPr>
      <w:r w:rsidRPr="006F5F84">
        <w:rPr>
          <w:rFonts w:eastAsia="PMingLiU"/>
          <w:b/>
          <w:lang w:val="en-US" w:eastAsia="ja-JP"/>
        </w:rPr>
        <w:t xml:space="preserve">For the PC parameters except for the PL RS, they </w:t>
      </w:r>
      <w:r>
        <w:rPr>
          <w:rFonts w:eastAsia="PMingLiU"/>
          <w:b/>
          <w:lang w:val="en-US" w:eastAsia="ja-JP"/>
        </w:rPr>
        <w:t xml:space="preserve">can </w:t>
      </w:r>
      <w:r w:rsidRPr="006F5F84">
        <w:rPr>
          <w:rFonts w:eastAsia="PMingLiU"/>
          <w:b/>
          <w:lang w:val="en-US" w:eastAsia="ja-JP"/>
        </w:rPr>
        <w:t>reuse those</w:t>
      </w:r>
      <w:r>
        <w:rPr>
          <w:rFonts w:eastAsia="PMingLiU"/>
          <w:b/>
          <w:lang w:val="en-US" w:eastAsia="ja-JP"/>
        </w:rPr>
        <w:t xml:space="preserve"> for the selected common TCI state ID on</w:t>
      </w:r>
      <w:r w:rsidRPr="006F5F84">
        <w:rPr>
          <w:rFonts w:eastAsia="PMingLiU"/>
          <w:b/>
          <w:lang w:val="en-US" w:eastAsia="ja-JP"/>
        </w:rPr>
        <w:t xml:space="preserve"> the reference BWP/CC.</w:t>
      </w:r>
    </w:p>
    <w:p w14:paraId="60E39FB7" w14:textId="77777777" w:rsidR="00B90F83" w:rsidRDefault="00B90F83" w:rsidP="00B90F83">
      <w:pPr>
        <w:numPr>
          <w:ilvl w:val="0"/>
          <w:numId w:val="4"/>
        </w:numPr>
        <w:spacing w:after="0"/>
        <w:jc w:val="both"/>
        <w:rPr>
          <w:rFonts w:eastAsia="PMingLiU"/>
          <w:b/>
          <w:lang w:val="en-US" w:eastAsia="ja-JP"/>
        </w:rPr>
      </w:pPr>
      <w:r>
        <w:rPr>
          <w:rFonts w:eastAsia="PMingLiU"/>
          <w:b/>
          <w:lang w:val="en-US" w:eastAsia="ja-JP"/>
        </w:rPr>
        <w:t>The used PL RS can have the following two alternatives, which can be selected by gNB</w:t>
      </w:r>
    </w:p>
    <w:p w14:paraId="177313B3" w14:textId="77777777" w:rsidR="00B90F83" w:rsidRDefault="00B90F83" w:rsidP="00B90F83">
      <w:pPr>
        <w:numPr>
          <w:ilvl w:val="1"/>
          <w:numId w:val="4"/>
        </w:numPr>
        <w:spacing w:after="0"/>
        <w:jc w:val="both"/>
        <w:rPr>
          <w:rFonts w:eastAsia="PMingLiU"/>
          <w:b/>
          <w:lang w:val="en-US" w:eastAsia="ja-JP"/>
        </w:rPr>
      </w:pPr>
      <w:r>
        <w:rPr>
          <w:rFonts w:eastAsia="PMingLiU"/>
          <w:b/>
          <w:lang w:val="en-US" w:eastAsia="ja-JP"/>
        </w:rPr>
        <w:t xml:space="preserve">Alt1: Use </w:t>
      </w:r>
      <w:r w:rsidRPr="009A5FBD">
        <w:rPr>
          <w:rFonts w:eastAsia="PMingLiU"/>
          <w:b/>
          <w:lang w:val="en-US" w:eastAsia="ja-JP"/>
        </w:rPr>
        <w:t xml:space="preserve">the same PL RS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34C77E83" w14:textId="644D422D" w:rsidR="00B90F83" w:rsidRDefault="00B90F83" w:rsidP="00B90F83">
      <w:pPr>
        <w:numPr>
          <w:ilvl w:val="1"/>
          <w:numId w:val="4"/>
        </w:numPr>
        <w:spacing w:after="0"/>
        <w:jc w:val="both"/>
        <w:rPr>
          <w:rFonts w:eastAsia="PMingLiU"/>
          <w:b/>
          <w:lang w:val="en-US" w:eastAsia="ja-JP"/>
        </w:rPr>
      </w:pPr>
      <w:r>
        <w:rPr>
          <w:rFonts w:eastAsia="PMingLiU"/>
          <w:b/>
          <w:lang w:val="en-US" w:eastAsia="ja-JP"/>
        </w:rPr>
        <w:t xml:space="preserve">Alt2: Use </w:t>
      </w:r>
      <w:r w:rsidRPr="009A5FBD">
        <w:rPr>
          <w:rFonts w:eastAsia="PMingLiU"/>
          <w:b/>
          <w:lang w:val="en-US" w:eastAsia="ja-JP"/>
        </w:rPr>
        <w:t>the PL RS configured on the target BWP/CC with the same RS ID</w:t>
      </w:r>
      <w:r>
        <w:rPr>
          <w:rFonts w:eastAsia="PMingLiU"/>
          <w:b/>
          <w:lang w:val="en-US" w:eastAsia="ja-JP"/>
        </w:rPr>
        <w:t xml:space="preserve"> as the PL RS</w:t>
      </w:r>
      <w:r w:rsidRPr="009A5FBD">
        <w:rPr>
          <w:rFonts w:eastAsia="PMingLiU"/>
          <w:b/>
          <w:lang w:val="en-US" w:eastAsia="ja-JP"/>
        </w:rPr>
        <w:t xml:space="preserve">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02F0A958" w14:textId="77777777" w:rsidR="00B90F83" w:rsidRDefault="00B90F83" w:rsidP="00B90F83">
      <w:pPr>
        <w:spacing w:after="0"/>
        <w:ind w:left="1440"/>
        <w:jc w:val="both"/>
        <w:rPr>
          <w:rFonts w:eastAsia="PMingLiU"/>
          <w:b/>
          <w:lang w:val="en-US" w:eastAsia="ja-JP"/>
        </w:rPr>
      </w:pPr>
    </w:p>
    <w:p w14:paraId="45C5CBD0" w14:textId="37F5A143" w:rsidR="00B94832" w:rsidRDefault="00B94832" w:rsidP="00B94832">
      <w:pPr>
        <w:jc w:val="both"/>
        <w:rPr>
          <w:b/>
          <w:lang w:eastAsia="ja-JP"/>
        </w:rPr>
      </w:pPr>
      <w:r w:rsidRPr="006C1A0F">
        <w:rPr>
          <w:b/>
          <w:u w:val="single"/>
          <w:lang w:eastAsia="ja-JP"/>
        </w:rPr>
        <w:t>Proposal</w:t>
      </w:r>
      <w:r w:rsidR="00F46888">
        <w:rPr>
          <w:b/>
          <w:u w:val="single"/>
          <w:lang w:eastAsia="ja-JP"/>
        </w:rPr>
        <w:t xml:space="preserve"> 11</w:t>
      </w:r>
      <w:r w:rsidRPr="006C1A0F">
        <w:rPr>
          <w:b/>
          <w:lang w:eastAsia="ja-JP"/>
        </w:rPr>
        <w:t>: Joint DL/UL TCI state of periodic CSI-RS and SRS can be updated by MAC-CE or DCI.</w:t>
      </w:r>
    </w:p>
    <w:p w14:paraId="33B4EE6A" w14:textId="52F0F56C" w:rsidR="00B94832" w:rsidRDefault="00B94832" w:rsidP="00B94832">
      <w:pPr>
        <w:jc w:val="both"/>
        <w:rPr>
          <w:b/>
          <w:lang w:val="en-US" w:eastAsia="ja-JP"/>
        </w:rPr>
      </w:pPr>
      <w:r w:rsidRPr="00393471">
        <w:rPr>
          <w:b/>
          <w:u w:val="single"/>
          <w:lang w:val="en-US" w:eastAsia="ja-JP"/>
        </w:rPr>
        <w:t xml:space="preserve">Proposal </w:t>
      </w:r>
      <w:r w:rsidR="00F46888">
        <w:rPr>
          <w:b/>
          <w:u w:val="single"/>
          <w:lang w:val="en-US" w:eastAsia="ja-JP"/>
        </w:rPr>
        <w:t>12</w:t>
      </w:r>
      <w:r w:rsidRPr="00393471">
        <w:rPr>
          <w:b/>
          <w:lang w:val="en-US" w:eastAsia="ja-JP"/>
        </w:rPr>
        <w:t>: For the up to K beams</w:t>
      </w:r>
      <w:r w:rsidRPr="001562AE">
        <w:rPr>
          <w:b/>
          <w:lang w:val="en-US" w:eastAsia="ja-JP"/>
        </w:rPr>
        <w:t xml:space="preserve"> associated at least with non-serving cell(s)</w:t>
      </w:r>
      <w:r>
        <w:rPr>
          <w:b/>
          <w:lang w:val="en-US" w:eastAsia="ja-JP"/>
        </w:rPr>
        <w:t xml:space="preserve"> </w:t>
      </w:r>
      <w:r w:rsidRPr="001562AE">
        <w:rPr>
          <w:b/>
          <w:lang w:val="en-US" w:eastAsia="ja-JP"/>
        </w:rPr>
        <w:t xml:space="preserve">in a single </w:t>
      </w:r>
      <w:r>
        <w:rPr>
          <w:b/>
          <w:lang w:val="en-US" w:eastAsia="ja-JP"/>
        </w:rPr>
        <w:t xml:space="preserve">report, support that gNB can configure either L1 or L3 RSRP as the reported beam metric. </w:t>
      </w:r>
    </w:p>
    <w:p w14:paraId="2861429F" w14:textId="58E58B0A" w:rsidR="00B94832" w:rsidRPr="005427B6" w:rsidRDefault="00B94832" w:rsidP="00B94832">
      <w:pPr>
        <w:jc w:val="both"/>
        <w:rPr>
          <w:b/>
          <w:lang w:val="en-US" w:eastAsia="ja-JP"/>
        </w:rPr>
      </w:pPr>
      <w:r w:rsidRPr="005427B6">
        <w:rPr>
          <w:b/>
          <w:u w:val="single"/>
          <w:lang w:val="en-US" w:eastAsia="ja-JP"/>
        </w:rPr>
        <w:t>Proposal 1</w:t>
      </w:r>
      <w:r w:rsidR="00F46888">
        <w:rPr>
          <w:b/>
          <w:u w:val="single"/>
          <w:lang w:val="en-US" w:eastAsia="ja-JP"/>
        </w:rPr>
        <w:t>3</w:t>
      </w:r>
      <w:r w:rsidRPr="005427B6">
        <w:rPr>
          <w:b/>
          <w:lang w:val="en-US" w:eastAsia="ja-JP"/>
        </w:rPr>
        <w:t xml:space="preserve">: For group-based beam report in inter-cell mTRP, support that the two reported beams per group can be from serving and non-serving cells, respectively. </w:t>
      </w:r>
    </w:p>
    <w:p w14:paraId="28611A73" w14:textId="19888251" w:rsidR="00B94832" w:rsidRPr="005427B6" w:rsidRDefault="00B94832" w:rsidP="00B94832">
      <w:pPr>
        <w:jc w:val="both"/>
        <w:rPr>
          <w:b/>
          <w:lang w:eastAsia="ja-JP"/>
        </w:rPr>
      </w:pPr>
      <w:r w:rsidRPr="005427B6">
        <w:rPr>
          <w:b/>
          <w:u w:val="single"/>
          <w:lang w:val="en-US" w:eastAsia="ja-JP"/>
        </w:rPr>
        <w:t>Proposal 1</w:t>
      </w:r>
      <w:r w:rsidR="00F46888">
        <w:rPr>
          <w:b/>
          <w:u w:val="single"/>
          <w:lang w:val="en-US" w:eastAsia="ja-JP"/>
        </w:rPr>
        <w:t>4</w:t>
      </w:r>
      <w:r w:rsidRPr="005427B6">
        <w:rPr>
          <w:b/>
          <w:lang w:val="en-US" w:eastAsia="ja-JP"/>
        </w:rPr>
        <w:t xml:space="preserve">: </w:t>
      </w:r>
      <w:r w:rsidRPr="005427B6">
        <w:rPr>
          <w:b/>
          <w:lang w:eastAsia="ja-JP"/>
        </w:rPr>
        <w:t>Support event triggered report of SSB L1-RSRP from a candidate non-serving cell.</w:t>
      </w:r>
    </w:p>
    <w:p w14:paraId="3EF503B0" w14:textId="720C62F3" w:rsidR="001C119F" w:rsidRPr="006B0884" w:rsidRDefault="00B94832" w:rsidP="001C119F">
      <w:pPr>
        <w:jc w:val="both"/>
        <w:rPr>
          <w:b/>
          <w:lang w:eastAsia="ja-JP"/>
        </w:rPr>
      </w:pPr>
      <w:r w:rsidRPr="005427B6">
        <w:rPr>
          <w:b/>
          <w:u w:val="single"/>
          <w:lang w:eastAsia="ja-JP"/>
        </w:rPr>
        <w:t>Proposal 1</w:t>
      </w:r>
      <w:r w:rsidR="00F46888">
        <w:rPr>
          <w:b/>
          <w:u w:val="single"/>
          <w:lang w:eastAsia="ja-JP"/>
        </w:rPr>
        <w:t>5</w:t>
      </w:r>
      <w:r w:rsidRPr="005427B6">
        <w:rPr>
          <w:b/>
          <w:u w:val="single"/>
          <w:lang w:eastAsia="ja-JP"/>
        </w:rPr>
        <w:t>:</w:t>
      </w:r>
      <w:r w:rsidRPr="005427B6">
        <w:rPr>
          <w:b/>
          <w:lang w:eastAsia="ja-JP"/>
        </w:rPr>
        <w:t xml:space="preserve"> Support dynamic (de)activation of the SSB measurement on non-serving cell(s) via MAC CE.</w:t>
      </w:r>
      <w:bookmarkStart w:id="22" w:name="_Hlk78278486"/>
    </w:p>
    <w:bookmarkEnd w:id="22"/>
    <w:p w14:paraId="1A5D357F" w14:textId="4DE3EC35" w:rsidR="00F46888" w:rsidRPr="00972ED1" w:rsidRDefault="00F46888" w:rsidP="00F46888">
      <w:pPr>
        <w:jc w:val="both"/>
        <w:rPr>
          <w:b/>
          <w:lang w:eastAsia="ja-JP"/>
        </w:rPr>
      </w:pPr>
      <w:r w:rsidRPr="005427B6">
        <w:rPr>
          <w:b/>
          <w:u w:val="single"/>
          <w:lang w:eastAsia="ja-JP"/>
        </w:rPr>
        <w:t xml:space="preserve">Proposal </w:t>
      </w:r>
      <w:r>
        <w:rPr>
          <w:b/>
          <w:u w:val="single"/>
          <w:lang w:eastAsia="ja-JP"/>
        </w:rPr>
        <w:t>16</w:t>
      </w:r>
      <w:r w:rsidRPr="005427B6">
        <w:rPr>
          <w:b/>
          <w:lang w:eastAsia="ja-JP"/>
        </w:rPr>
        <w:t xml:space="preserve">: Serving and non-serving cells can have </w:t>
      </w:r>
      <w:r>
        <w:rPr>
          <w:b/>
          <w:lang w:eastAsia="ja-JP"/>
        </w:rPr>
        <w:t>different TAs and Rx timing difference greater than a CP</w:t>
      </w:r>
      <w:r w:rsidRPr="005427B6">
        <w:rPr>
          <w:b/>
          <w:lang w:eastAsia="ja-JP"/>
        </w:rPr>
        <w:t xml:space="preserve"> at least for single TRP operation.</w:t>
      </w:r>
    </w:p>
    <w:p w14:paraId="5AE3B2A0" w14:textId="3F9327FC" w:rsidR="00DC5CDE" w:rsidRDefault="00B94832" w:rsidP="00B94832">
      <w:pPr>
        <w:jc w:val="both"/>
        <w:rPr>
          <w:b/>
          <w:lang w:eastAsia="ja-JP"/>
        </w:rPr>
      </w:pPr>
      <w:r w:rsidRPr="005427B6">
        <w:rPr>
          <w:b/>
          <w:u w:val="single"/>
          <w:lang w:eastAsia="ja-JP"/>
        </w:rPr>
        <w:t>Proposal 1</w:t>
      </w:r>
      <w:r w:rsidR="004715BD">
        <w:rPr>
          <w:b/>
          <w:u w:val="single"/>
          <w:lang w:eastAsia="ja-JP"/>
        </w:rPr>
        <w:t>7</w:t>
      </w:r>
      <w:r w:rsidRPr="005427B6">
        <w:rPr>
          <w:b/>
          <w:lang w:eastAsia="ja-JP"/>
        </w:rPr>
        <w:t>: For</w:t>
      </w:r>
      <w:r w:rsidRPr="00393471">
        <w:rPr>
          <w:b/>
          <w:lang w:eastAsia="ja-JP"/>
        </w:rPr>
        <w:t xml:space="preserve"> DCI format</w:t>
      </w:r>
      <w:r>
        <w:rPr>
          <w:b/>
          <w:lang w:eastAsia="ja-JP"/>
        </w:rPr>
        <w:t xml:space="preserve"> 1_2 for TCI update and without DL assignment, clarify that the RV field should always present. </w:t>
      </w:r>
    </w:p>
    <w:p w14:paraId="3936EC64" w14:textId="77777777" w:rsidR="004715BD" w:rsidRDefault="004715BD" w:rsidP="004715BD">
      <w:r w:rsidRPr="00364AE6">
        <w:rPr>
          <w:b/>
          <w:bCs/>
          <w:u w:val="single"/>
        </w:rPr>
        <w:t xml:space="preserve">Proposal </w:t>
      </w:r>
      <w:r>
        <w:rPr>
          <w:b/>
          <w:bCs/>
          <w:u w:val="single"/>
        </w:rPr>
        <w:t>18</w:t>
      </w:r>
      <w:r>
        <w:rPr>
          <w:b/>
          <w:bCs/>
        </w:rPr>
        <w:t>: For Type-1 HARQ-ACK codebook, if TDRA of DCI indicates K0 for the virtual PDSCH and the DCI indicates a value K1 for HARQ-ACK timing, then the value of K1-K0 shall be among the “set of slot timing values K1” as defined in Section 9.1.2.1 of 38.213</w:t>
      </w:r>
      <w:r>
        <w:t>.</w:t>
      </w:r>
    </w:p>
    <w:p w14:paraId="32738C68" w14:textId="77777777" w:rsidR="00F92D8D" w:rsidRDefault="00F92D8D" w:rsidP="00F92D8D">
      <w:pPr>
        <w:jc w:val="both"/>
        <w:rPr>
          <w:b/>
          <w:bCs/>
        </w:rPr>
      </w:pPr>
      <w:r w:rsidRPr="00364AE6">
        <w:rPr>
          <w:b/>
          <w:bCs/>
          <w:u w:val="single"/>
        </w:rPr>
        <w:lastRenderedPageBreak/>
        <w:t xml:space="preserve">Proposal </w:t>
      </w:r>
      <w:r>
        <w:rPr>
          <w:b/>
          <w:bCs/>
          <w:u w:val="single"/>
        </w:rPr>
        <w:t>19</w:t>
      </w:r>
      <w:r>
        <w:rPr>
          <w:b/>
          <w:bCs/>
        </w:rPr>
        <w:t>: The application time for the PL RS associated with an updated beam indication by the DCI can be the same as that for the updated beam indication.</w:t>
      </w:r>
    </w:p>
    <w:p w14:paraId="2C1DE1FF" w14:textId="3536AA73" w:rsidR="00B94832" w:rsidRPr="00D65C3A" w:rsidRDefault="00B94832" w:rsidP="00B94832">
      <w:pPr>
        <w:jc w:val="both"/>
        <w:rPr>
          <w:b/>
        </w:rPr>
      </w:pPr>
      <w:r w:rsidRPr="00393471">
        <w:rPr>
          <w:b/>
          <w:u w:val="single"/>
        </w:rPr>
        <w:t xml:space="preserve">Proposal </w:t>
      </w:r>
      <w:r w:rsidR="00F92D8D">
        <w:rPr>
          <w:b/>
          <w:u w:val="single"/>
        </w:rPr>
        <w:t>20</w:t>
      </w:r>
      <w:r w:rsidRPr="00393471">
        <w:rPr>
          <w:b/>
        </w:rPr>
        <w:t>: If the TCI updating</w:t>
      </w:r>
      <w:r w:rsidRPr="00D65C3A">
        <w:rPr>
          <w:b/>
        </w:rPr>
        <w:t xml:space="preserve"> DCI has smaller SCS than the applied channel(s), additional application time should be added to account for extra DCI decoding latency.</w:t>
      </w:r>
    </w:p>
    <w:p w14:paraId="1173B175" w14:textId="6C48895A" w:rsidR="00B94832" w:rsidRDefault="00B94832" w:rsidP="00B94832">
      <w:pPr>
        <w:numPr>
          <w:ilvl w:val="0"/>
          <w:numId w:val="4"/>
        </w:numPr>
        <w:jc w:val="both"/>
        <w:rPr>
          <w:b/>
        </w:rPr>
      </w:pPr>
      <w:r w:rsidRPr="00D65C3A">
        <w:rPr>
          <w:b/>
        </w:rPr>
        <w:t>Value may reuse the additional beam switching timing delay d defined in 38.214 Table 5.2.1.5.1a-1.</w:t>
      </w:r>
    </w:p>
    <w:p w14:paraId="1D9B408F" w14:textId="694239EA" w:rsidR="00B94832" w:rsidRDefault="00B94832" w:rsidP="00B94832">
      <w:pPr>
        <w:jc w:val="both"/>
        <w:rPr>
          <w:b/>
          <w:lang w:eastAsia="ja-JP"/>
        </w:rPr>
      </w:pPr>
      <w:r w:rsidRPr="004D0DBF">
        <w:rPr>
          <w:b/>
          <w:u w:val="single"/>
          <w:lang w:eastAsia="ja-JP"/>
        </w:rPr>
        <w:t xml:space="preserve">Proposal </w:t>
      </w:r>
      <w:r w:rsidR="00F92D8D">
        <w:rPr>
          <w:b/>
          <w:u w:val="single"/>
          <w:lang w:eastAsia="ja-JP"/>
        </w:rPr>
        <w:t>21</w:t>
      </w:r>
      <w:r w:rsidRPr="004D0DBF">
        <w:rPr>
          <w:b/>
          <w:lang w:eastAsia="ja-JP"/>
        </w:rPr>
        <w:t>: In presence of PUCCH repetition, the application time for DCI based TCI state and PL RS update should be defined from the last PUCCH repetition.</w:t>
      </w:r>
    </w:p>
    <w:p w14:paraId="1F267F65" w14:textId="6EACB26F" w:rsidR="00B94832" w:rsidRPr="005427B6" w:rsidRDefault="00B94832" w:rsidP="00B94832">
      <w:pPr>
        <w:jc w:val="both"/>
        <w:rPr>
          <w:b/>
          <w:lang w:eastAsia="ja-JP"/>
        </w:rPr>
      </w:pPr>
      <w:r w:rsidRPr="005427B6">
        <w:rPr>
          <w:b/>
          <w:u w:val="single"/>
          <w:lang w:eastAsia="ja-JP"/>
        </w:rPr>
        <w:t>Proposal 2</w:t>
      </w:r>
      <w:r w:rsidR="00F92D8D">
        <w:rPr>
          <w:b/>
          <w:u w:val="single"/>
          <w:lang w:eastAsia="ja-JP"/>
        </w:rPr>
        <w:t>2</w:t>
      </w:r>
      <w:r w:rsidRPr="005427B6">
        <w:rPr>
          <w:b/>
          <w:lang w:eastAsia="ja-JP"/>
        </w:rPr>
        <w:t>: Support UE to report the panel related capabilities.</w:t>
      </w:r>
    </w:p>
    <w:p w14:paraId="22F20D40" w14:textId="77777777" w:rsidR="00B94832" w:rsidRDefault="00B94832" w:rsidP="00B94832">
      <w:pPr>
        <w:numPr>
          <w:ilvl w:val="0"/>
          <w:numId w:val="4"/>
        </w:numPr>
        <w:rPr>
          <w:rFonts w:eastAsia="Times New Roman"/>
          <w:b/>
        </w:rPr>
      </w:pPr>
      <w:r w:rsidRPr="005427B6">
        <w:rPr>
          <w:rFonts w:eastAsia="Times New Roman"/>
          <w:b/>
        </w:rPr>
        <w:t>The capabilities include number of DL/UL panels, number of antenna ports per panel, maximum resource</w:t>
      </w:r>
      <w:r>
        <w:rPr>
          <w:rFonts w:eastAsia="Times New Roman"/>
          <w:b/>
        </w:rPr>
        <w:t xml:space="preserve"> number per resource set of SRS for BM, panel specific activation/selection delay</w:t>
      </w:r>
      <w:r w:rsidRPr="006C1A0F">
        <w:rPr>
          <w:rFonts w:eastAsia="Times New Roman"/>
          <w:b/>
        </w:rPr>
        <w:t>.</w:t>
      </w:r>
    </w:p>
    <w:p w14:paraId="3AF315A2" w14:textId="77777777" w:rsidR="00B94832" w:rsidRPr="007A0B53" w:rsidRDefault="00B94832" w:rsidP="00B94832">
      <w:pPr>
        <w:numPr>
          <w:ilvl w:val="0"/>
          <w:numId w:val="4"/>
        </w:numPr>
        <w:rPr>
          <w:rFonts w:eastAsia="Times New Roman"/>
          <w:b/>
        </w:rPr>
      </w:pPr>
      <w:r w:rsidRPr="006C1A0F">
        <w:rPr>
          <w:rFonts w:eastAsia="Times New Roman"/>
          <w:b/>
        </w:rPr>
        <w:t xml:space="preserve"> </w:t>
      </w:r>
      <w:r>
        <w:rPr>
          <w:rFonts w:eastAsia="Times New Roman"/>
          <w:b/>
        </w:rPr>
        <w:t>Reported p</w:t>
      </w:r>
      <w:r w:rsidRPr="006C1A0F">
        <w:rPr>
          <w:rFonts w:eastAsia="Times New Roman"/>
          <w:b/>
        </w:rPr>
        <w:t xml:space="preserve">anel </w:t>
      </w:r>
      <w:r>
        <w:rPr>
          <w:rFonts w:eastAsia="Times New Roman"/>
          <w:b/>
        </w:rPr>
        <w:t>related capabilities</w:t>
      </w:r>
      <w:r w:rsidRPr="006C1A0F">
        <w:rPr>
          <w:rFonts w:eastAsia="Times New Roman"/>
          <w:b/>
        </w:rPr>
        <w:t xml:space="preserve"> can be common across multiple CCs. </w:t>
      </w:r>
    </w:p>
    <w:p w14:paraId="40F776D7" w14:textId="0B57C6CC" w:rsidR="00B94832" w:rsidRPr="006C1A0F" w:rsidRDefault="00B94832" w:rsidP="00B94832">
      <w:pPr>
        <w:jc w:val="both"/>
        <w:rPr>
          <w:b/>
          <w:lang w:eastAsia="ja-JP"/>
        </w:rPr>
      </w:pPr>
      <w:r w:rsidRPr="006C1A0F">
        <w:rPr>
          <w:b/>
          <w:u w:val="single"/>
          <w:lang w:eastAsia="ja-JP"/>
        </w:rPr>
        <w:t xml:space="preserve">Proposal </w:t>
      </w:r>
      <w:r>
        <w:rPr>
          <w:b/>
          <w:u w:val="single"/>
          <w:lang w:eastAsia="ja-JP"/>
        </w:rPr>
        <w:t>2</w:t>
      </w:r>
      <w:r w:rsidR="00F92D8D">
        <w:rPr>
          <w:b/>
          <w:u w:val="single"/>
          <w:lang w:eastAsia="ja-JP"/>
        </w:rPr>
        <w:t>3</w:t>
      </w:r>
      <w:r w:rsidRPr="006C1A0F">
        <w:rPr>
          <w:b/>
          <w:lang w:eastAsia="ja-JP"/>
        </w:rPr>
        <w:t>: Final decision of UE panel activation should be made by UE.</w:t>
      </w:r>
    </w:p>
    <w:p w14:paraId="7096EA66" w14:textId="77777777" w:rsidR="00B94832" w:rsidRDefault="00B94832" w:rsidP="00B94832">
      <w:pPr>
        <w:numPr>
          <w:ilvl w:val="0"/>
          <w:numId w:val="4"/>
        </w:numPr>
        <w:rPr>
          <w:rFonts w:eastAsia="Times New Roman"/>
          <w:b/>
        </w:rPr>
      </w:pPr>
      <w:r w:rsidRPr="006C1A0F">
        <w:rPr>
          <w:rFonts w:eastAsia="Times New Roman"/>
          <w:b/>
        </w:rPr>
        <w:t xml:space="preserve">Among active UE panels, gNB may select which one to use per transmission. </w:t>
      </w:r>
    </w:p>
    <w:p w14:paraId="1CFBCC53" w14:textId="55BBCCF5" w:rsidR="00B94832" w:rsidRPr="005427B6" w:rsidRDefault="00B94832" w:rsidP="00B94832">
      <w:pPr>
        <w:jc w:val="both"/>
        <w:rPr>
          <w:b/>
          <w:lang w:eastAsia="ja-JP"/>
        </w:rPr>
      </w:pPr>
      <w:r w:rsidRPr="005427B6">
        <w:rPr>
          <w:b/>
          <w:u w:val="single"/>
          <w:lang w:eastAsia="ja-JP"/>
        </w:rPr>
        <w:t>Proposal 2</w:t>
      </w:r>
      <w:r w:rsidR="00F92D8D">
        <w:rPr>
          <w:b/>
          <w:u w:val="single"/>
          <w:lang w:eastAsia="ja-JP"/>
        </w:rPr>
        <w:t>4</w:t>
      </w:r>
      <w:r w:rsidRPr="005427B6">
        <w:rPr>
          <w:b/>
          <w:lang w:eastAsia="ja-JP"/>
        </w:rPr>
        <w:t>: Support UE reporting of panel activation status.</w:t>
      </w:r>
    </w:p>
    <w:p w14:paraId="02DA4FF7" w14:textId="77777777" w:rsidR="00B94832" w:rsidRPr="005427B6" w:rsidRDefault="00B94832" w:rsidP="00B94832">
      <w:pPr>
        <w:numPr>
          <w:ilvl w:val="0"/>
          <w:numId w:val="4"/>
        </w:numPr>
        <w:rPr>
          <w:rFonts w:eastAsia="Times New Roman"/>
          <w:b/>
        </w:rPr>
      </w:pPr>
      <w:r w:rsidRPr="005427B6">
        <w:rPr>
          <w:rFonts w:eastAsia="Times New Roman"/>
          <w:b/>
        </w:rPr>
        <w:t xml:space="preserve">Reported panel activation status can be common across multiple CCs. </w:t>
      </w:r>
    </w:p>
    <w:p w14:paraId="3A3F8B74" w14:textId="0B186A63" w:rsidR="00B94832" w:rsidRPr="005427B6" w:rsidRDefault="00B94832" w:rsidP="00B94832">
      <w:pPr>
        <w:jc w:val="both"/>
        <w:rPr>
          <w:b/>
          <w:lang w:eastAsia="ja-JP"/>
        </w:rPr>
      </w:pPr>
      <w:r w:rsidRPr="005427B6">
        <w:rPr>
          <w:b/>
          <w:u w:val="single"/>
          <w:lang w:eastAsia="ja-JP"/>
        </w:rPr>
        <w:t>Proposal 2</w:t>
      </w:r>
      <w:r w:rsidR="00F92D8D">
        <w:rPr>
          <w:b/>
          <w:u w:val="single"/>
          <w:lang w:eastAsia="ja-JP"/>
        </w:rPr>
        <w:t>5</w:t>
      </w:r>
      <w:r w:rsidRPr="005427B6">
        <w:rPr>
          <w:b/>
          <w:lang w:eastAsia="ja-JP"/>
        </w:rPr>
        <w:t>: Support CB based SRS resources with different numbers of ports.</w:t>
      </w:r>
    </w:p>
    <w:p w14:paraId="404D2DE8" w14:textId="32EB92EE" w:rsidR="00B94832" w:rsidRPr="005427B6" w:rsidRDefault="00B94832" w:rsidP="00B94832">
      <w:pPr>
        <w:jc w:val="both"/>
        <w:rPr>
          <w:b/>
          <w:lang w:val="en-US" w:eastAsia="ja-JP"/>
        </w:rPr>
      </w:pPr>
      <w:r w:rsidRPr="005427B6">
        <w:rPr>
          <w:b/>
          <w:u w:val="single"/>
          <w:lang w:val="en-US" w:eastAsia="ja-JP"/>
        </w:rPr>
        <w:t>Proposal 2</w:t>
      </w:r>
      <w:r w:rsidR="00F92D8D">
        <w:rPr>
          <w:b/>
          <w:u w:val="single"/>
          <w:lang w:val="en-US" w:eastAsia="ja-JP"/>
        </w:rPr>
        <w:t>6</w:t>
      </w:r>
      <w:r w:rsidRPr="005427B6">
        <w:rPr>
          <w:b/>
          <w:lang w:val="en-US" w:eastAsia="ja-JP"/>
        </w:rPr>
        <w:t xml:space="preserve">: gNB and UE should be aligned on the mapping between TCI state and UE panel. </w:t>
      </w:r>
    </w:p>
    <w:p w14:paraId="6BE6ED27" w14:textId="77777777" w:rsidR="00B94832" w:rsidRPr="005427B6" w:rsidRDefault="00B94832" w:rsidP="00B94832">
      <w:pPr>
        <w:numPr>
          <w:ilvl w:val="0"/>
          <w:numId w:val="4"/>
        </w:numPr>
        <w:rPr>
          <w:rFonts w:eastAsia="Times New Roman"/>
          <w:b/>
        </w:rPr>
      </w:pPr>
      <w:r w:rsidRPr="005427B6">
        <w:rPr>
          <w:rFonts w:eastAsia="Times New Roman"/>
          <w:b/>
        </w:rPr>
        <w:t>UE can report the updated panel corresponding to a TCI state.</w:t>
      </w:r>
    </w:p>
    <w:p w14:paraId="4EAA7C1C" w14:textId="4398AA51" w:rsidR="00B94832" w:rsidRPr="005427B6" w:rsidRDefault="00B94832" w:rsidP="00B94832">
      <w:pPr>
        <w:jc w:val="both"/>
        <w:rPr>
          <w:b/>
          <w:lang w:val="en-US" w:eastAsia="ja-JP"/>
        </w:rPr>
      </w:pPr>
      <w:r w:rsidRPr="005427B6">
        <w:rPr>
          <w:b/>
          <w:u w:val="single"/>
          <w:lang w:val="en-US" w:eastAsia="ja-JP"/>
        </w:rPr>
        <w:t>Proposal 2</w:t>
      </w:r>
      <w:r w:rsidR="007A645C">
        <w:rPr>
          <w:b/>
          <w:u w:val="single"/>
          <w:lang w:val="en-US" w:eastAsia="ja-JP"/>
        </w:rPr>
        <w:t>7</w:t>
      </w:r>
      <w:r w:rsidRPr="005427B6">
        <w:rPr>
          <w:b/>
          <w:lang w:val="en-US" w:eastAsia="ja-JP"/>
        </w:rPr>
        <w:t>: In the beam report for UL beam selection, for each reported DL RS, UE can report multiple L1 metrics measured on different panels for that DL RS.</w:t>
      </w:r>
    </w:p>
    <w:p w14:paraId="7D680DD1" w14:textId="2D3BF46C" w:rsidR="00B94832" w:rsidRDefault="00B94832" w:rsidP="00B94832">
      <w:pPr>
        <w:numPr>
          <w:ilvl w:val="0"/>
          <w:numId w:val="4"/>
        </w:numPr>
        <w:rPr>
          <w:rFonts w:eastAsia="Times New Roman"/>
          <w:b/>
        </w:rPr>
      </w:pPr>
      <w:r w:rsidRPr="005427B6">
        <w:rPr>
          <w:rFonts w:eastAsia="Times New Roman"/>
          <w:b/>
        </w:rPr>
        <w:t xml:space="preserve">Among multiple reported panels for the same DL RS, gNB may select the one for UL transmission by jointly considering L1 metric and UL interference. </w:t>
      </w:r>
    </w:p>
    <w:p w14:paraId="1C2D247B" w14:textId="6B994BCD" w:rsidR="00B94832" w:rsidRPr="005427B6" w:rsidRDefault="00B94832" w:rsidP="00B94832">
      <w:pPr>
        <w:jc w:val="both"/>
        <w:rPr>
          <w:b/>
          <w:lang w:eastAsia="ja-JP"/>
        </w:rPr>
      </w:pPr>
      <w:r w:rsidRPr="005427B6">
        <w:rPr>
          <w:b/>
          <w:u w:val="single"/>
          <w:lang w:eastAsia="ja-JP"/>
        </w:rPr>
        <w:t>Proposal 2</w:t>
      </w:r>
      <w:r w:rsidR="00476AD6">
        <w:rPr>
          <w:b/>
          <w:u w:val="single"/>
          <w:lang w:eastAsia="ja-JP"/>
        </w:rPr>
        <w:t>8</w:t>
      </w:r>
      <w:r w:rsidRPr="005427B6">
        <w:rPr>
          <w:b/>
          <w:lang w:eastAsia="ja-JP"/>
        </w:rPr>
        <w:t>: Support beam level P-MPR report with modified virtual PHR per reported SSBRI/CRI.</w:t>
      </w:r>
    </w:p>
    <w:p w14:paraId="0ADD3CFB" w14:textId="77777777" w:rsidR="00B94832" w:rsidRPr="005427B6" w:rsidRDefault="00B94832" w:rsidP="00B94832">
      <w:pPr>
        <w:numPr>
          <w:ilvl w:val="0"/>
          <w:numId w:val="4"/>
        </w:numPr>
        <w:rPr>
          <w:rFonts w:eastAsia="Times New Roman"/>
          <w:b/>
        </w:rPr>
      </w:pPr>
      <w:r w:rsidRPr="005427B6">
        <w:rPr>
          <w:rFonts w:eastAsia="Times New Roman"/>
          <w:b/>
        </w:rPr>
        <w:t>The modified virtual PHR considers the actual P-MPR under the MPE requirement.</w:t>
      </w:r>
    </w:p>
    <w:p w14:paraId="171EFC1E" w14:textId="34AD9A92" w:rsidR="00B94832" w:rsidRPr="005427B6" w:rsidRDefault="00B94832" w:rsidP="00B94832">
      <w:pPr>
        <w:jc w:val="both"/>
        <w:rPr>
          <w:b/>
          <w:lang w:eastAsia="ja-JP"/>
        </w:rPr>
      </w:pPr>
      <w:r w:rsidRPr="005427B6">
        <w:rPr>
          <w:b/>
          <w:u w:val="single"/>
          <w:lang w:eastAsia="ja-JP"/>
        </w:rPr>
        <w:t>Proposal 2</w:t>
      </w:r>
      <w:r w:rsidR="00476AD6">
        <w:rPr>
          <w:b/>
          <w:u w:val="single"/>
          <w:lang w:eastAsia="ja-JP"/>
        </w:rPr>
        <w:t>9</w:t>
      </w:r>
      <w:r w:rsidRPr="005427B6">
        <w:rPr>
          <w:b/>
          <w:lang w:eastAsia="ja-JP"/>
        </w:rPr>
        <w:t>: Support UL beam resetting based on reported new UL beam in UE triggered P-MPR report, after UE receives gNB’s response to the report.</w:t>
      </w:r>
    </w:p>
    <w:p w14:paraId="55DEBDC5" w14:textId="2AA50D10" w:rsidR="00B94832" w:rsidRPr="005427B6" w:rsidRDefault="00B94832" w:rsidP="00B94832">
      <w:pPr>
        <w:jc w:val="both"/>
        <w:rPr>
          <w:b/>
          <w:lang w:eastAsia="ja-JP"/>
        </w:rPr>
      </w:pPr>
      <w:r w:rsidRPr="005427B6">
        <w:rPr>
          <w:b/>
          <w:u w:val="single"/>
          <w:lang w:eastAsia="ja-JP"/>
        </w:rPr>
        <w:t xml:space="preserve">Proposal </w:t>
      </w:r>
      <w:r w:rsidR="00476AD6">
        <w:rPr>
          <w:b/>
          <w:u w:val="single"/>
          <w:lang w:eastAsia="ja-JP"/>
        </w:rPr>
        <w:t>30</w:t>
      </w:r>
      <w:r w:rsidRPr="005427B6">
        <w:rPr>
          <w:b/>
          <w:lang w:eastAsia="ja-JP"/>
        </w:rPr>
        <w:t>: For gNB scheduled report with separate preferred DL/UL beams, support report of UL RSRP per reported SSBRI/CRI for UL beam.</w:t>
      </w:r>
    </w:p>
    <w:p w14:paraId="5D231BCF" w14:textId="3305AB7A" w:rsidR="00B94832" w:rsidRPr="005427B6" w:rsidRDefault="00B94832" w:rsidP="00B94832">
      <w:pPr>
        <w:numPr>
          <w:ilvl w:val="0"/>
          <w:numId w:val="4"/>
        </w:numPr>
        <w:rPr>
          <w:rFonts w:eastAsia="Times New Roman"/>
          <w:b/>
        </w:rPr>
      </w:pPr>
      <w:r w:rsidRPr="005427B6">
        <w:rPr>
          <w:rFonts w:eastAsia="Times New Roman"/>
          <w:b/>
        </w:rPr>
        <w:t xml:space="preserve">Where UL RSRP = UL max Tx power under MPE – </w:t>
      </w:r>
      <w:r w:rsidR="00F75BB2">
        <w:rPr>
          <w:rFonts w:eastAsia="Times New Roman"/>
          <w:b/>
        </w:rPr>
        <w:t>Estimated path loss</w:t>
      </w:r>
      <w:r w:rsidRPr="005427B6">
        <w:rPr>
          <w:rFonts w:eastAsia="Times New Roman"/>
          <w:b/>
        </w:rPr>
        <w:t>.</w:t>
      </w:r>
    </w:p>
    <w:p w14:paraId="1602E91D" w14:textId="19F3809E" w:rsidR="00134B63" w:rsidRDefault="00B94832" w:rsidP="00B94832">
      <w:pPr>
        <w:jc w:val="both"/>
        <w:rPr>
          <w:b/>
          <w:lang w:eastAsia="ja-JP"/>
        </w:rPr>
      </w:pPr>
      <w:r w:rsidRPr="005427B6">
        <w:rPr>
          <w:b/>
          <w:u w:val="single"/>
          <w:lang w:eastAsia="ja-JP"/>
        </w:rPr>
        <w:t xml:space="preserve">Proposal </w:t>
      </w:r>
      <w:r w:rsidR="00476AD6">
        <w:rPr>
          <w:b/>
          <w:u w:val="single"/>
          <w:lang w:eastAsia="ja-JP"/>
        </w:rPr>
        <w:t>31</w:t>
      </w:r>
      <w:r w:rsidRPr="005427B6">
        <w:rPr>
          <w:b/>
          <w:lang w:eastAsia="ja-JP"/>
        </w:rPr>
        <w:t>: Support differential report when multiple UL beams are reported in the same reporting instance.</w:t>
      </w:r>
    </w:p>
    <w:p w14:paraId="7C265AF9" w14:textId="77777777" w:rsidR="00287744" w:rsidRDefault="00287744" w:rsidP="00287744">
      <w:pPr>
        <w:jc w:val="both"/>
        <w:rPr>
          <w:b/>
        </w:rPr>
      </w:pPr>
      <w:r w:rsidRPr="005427B6">
        <w:rPr>
          <w:b/>
          <w:u w:val="single"/>
        </w:rPr>
        <w:t xml:space="preserve">Proposal </w:t>
      </w:r>
      <w:r>
        <w:rPr>
          <w:b/>
          <w:u w:val="single"/>
        </w:rPr>
        <w:t>32</w:t>
      </w:r>
      <w:r w:rsidRPr="005427B6">
        <w:rPr>
          <w:b/>
        </w:rPr>
        <w:t>: Support</w:t>
      </w:r>
      <w:r w:rsidRPr="008F7154">
        <w:rPr>
          <w:b/>
        </w:rPr>
        <w:t xml:space="preserve"> </w:t>
      </w:r>
      <w:r>
        <w:rPr>
          <w:b/>
        </w:rPr>
        <w:t xml:space="preserve">TCI updating DCI triggered beam measurement and report, whose config is determined by a </w:t>
      </w:r>
      <w:r w:rsidRPr="009E3DCE">
        <w:rPr>
          <w:b/>
          <w:i/>
          <w:iCs/>
        </w:rPr>
        <w:t>CSI-AperiodicTriggerState</w:t>
      </w:r>
      <w:r w:rsidRPr="009E3DCE">
        <w:rPr>
          <w:b/>
        </w:rPr>
        <w:t xml:space="preserve"> </w:t>
      </w:r>
      <w:r>
        <w:rPr>
          <w:b/>
        </w:rPr>
        <w:t xml:space="preserve">codepoint or a </w:t>
      </w:r>
      <w:r w:rsidRPr="00BE422D">
        <w:rPr>
          <w:b/>
          <w:i/>
          <w:iCs/>
        </w:rPr>
        <w:t>CSI-ReportConfigId</w:t>
      </w:r>
      <w:r>
        <w:rPr>
          <w:b/>
        </w:rPr>
        <w:t xml:space="preserve"> linked to the updated TCI state.</w:t>
      </w:r>
    </w:p>
    <w:p w14:paraId="667D0DD2" w14:textId="77777777" w:rsidR="00287744" w:rsidRDefault="00287744" w:rsidP="00287744">
      <w:pPr>
        <w:numPr>
          <w:ilvl w:val="0"/>
          <w:numId w:val="4"/>
        </w:numPr>
        <w:rPr>
          <w:rFonts w:eastAsia="Times New Roman"/>
          <w:b/>
        </w:rPr>
      </w:pPr>
      <w:r w:rsidRPr="00134B63">
        <w:rPr>
          <w:rFonts w:eastAsia="Times New Roman"/>
          <w:b/>
        </w:rPr>
        <w:t xml:space="preserve">The linked </w:t>
      </w:r>
      <w:r w:rsidRPr="009E3DCE">
        <w:rPr>
          <w:b/>
          <w:i/>
          <w:iCs/>
        </w:rPr>
        <w:t>CSI-AperiodicTriggerState</w:t>
      </w:r>
      <w:r w:rsidRPr="009E3DCE">
        <w:rPr>
          <w:b/>
        </w:rPr>
        <w:t xml:space="preserve"> </w:t>
      </w:r>
      <w:r>
        <w:rPr>
          <w:b/>
        </w:rPr>
        <w:t xml:space="preserve">codepoint or </w:t>
      </w:r>
      <w:r w:rsidRPr="00BE422D">
        <w:rPr>
          <w:rFonts w:eastAsia="Times New Roman"/>
          <w:b/>
          <w:i/>
          <w:iCs/>
        </w:rPr>
        <w:t>CSI-ReportConfigId</w:t>
      </w:r>
      <w:r w:rsidRPr="00BE422D">
        <w:rPr>
          <w:rFonts w:eastAsia="Times New Roman"/>
          <w:b/>
        </w:rPr>
        <w:t xml:space="preserve"> </w:t>
      </w:r>
      <w:r w:rsidRPr="00134B63">
        <w:rPr>
          <w:rFonts w:eastAsia="Times New Roman"/>
          <w:b/>
        </w:rPr>
        <w:t xml:space="preserve">can be configured in the </w:t>
      </w:r>
      <w:r>
        <w:rPr>
          <w:rFonts w:eastAsia="Times New Roman"/>
          <w:b/>
        </w:rPr>
        <w:t xml:space="preserve">corresponding </w:t>
      </w:r>
      <w:r w:rsidRPr="00134B63">
        <w:rPr>
          <w:rFonts w:eastAsia="Times New Roman"/>
          <w:b/>
        </w:rPr>
        <w:t xml:space="preserve">TCI </w:t>
      </w:r>
      <w:r>
        <w:rPr>
          <w:rFonts w:eastAsia="Times New Roman"/>
          <w:b/>
        </w:rPr>
        <w:t xml:space="preserve">state </w:t>
      </w:r>
      <w:r w:rsidRPr="00134B63">
        <w:rPr>
          <w:rFonts w:eastAsia="Times New Roman"/>
          <w:b/>
        </w:rPr>
        <w:t xml:space="preserve">IE. </w:t>
      </w:r>
    </w:p>
    <w:p w14:paraId="7FB79D0F" w14:textId="6741FD04" w:rsidR="00BE422D" w:rsidRDefault="00705B86" w:rsidP="00BE422D">
      <w:pPr>
        <w:jc w:val="both"/>
        <w:rPr>
          <w:b/>
        </w:rPr>
      </w:pPr>
      <w:r w:rsidRPr="005427B6">
        <w:rPr>
          <w:b/>
          <w:u w:val="single"/>
        </w:rPr>
        <w:lastRenderedPageBreak/>
        <w:t xml:space="preserve">Proposal </w:t>
      </w:r>
      <w:r>
        <w:rPr>
          <w:b/>
          <w:u w:val="single"/>
        </w:rPr>
        <w:t>33</w:t>
      </w:r>
      <w:r w:rsidRPr="005427B6">
        <w:rPr>
          <w:b/>
        </w:rPr>
        <w:t xml:space="preserve">: </w:t>
      </w:r>
      <w:r>
        <w:rPr>
          <w:b/>
        </w:rPr>
        <w:t>For a transmitted beam report, the unified TCI state corresponding to the best reported metric will be applied to the applicable channels/RSs, if no DCI updating the TCI state for the same applicable channels/RSs is received within X ms after the end of the beam report</w:t>
      </w:r>
      <w:r w:rsidR="00A20AEB">
        <w:rPr>
          <w:b/>
        </w:rPr>
        <w:t xml:space="preserve">. </w:t>
      </w:r>
    </w:p>
    <w:p w14:paraId="44715EB4" w14:textId="04CE8762" w:rsidR="00DA6F06" w:rsidRDefault="00DA6F06" w:rsidP="00DA6F06">
      <w:pPr>
        <w:jc w:val="both"/>
        <w:rPr>
          <w:b/>
        </w:rPr>
      </w:pPr>
      <w:r w:rsidRPr="005427B6">
        <w:rPr>
          <w:b/>
          <w:u w:val="single"/>
        </w:rPr>
        <w:t xml:space="preserve">Proposal </w:t>
      </w:r>
      <w:r w:rsidR="001C0797">
        <w:rPr>
          <w:b/>
          <w:u w:val="single"/>
        </w:rPr>
        <w:t>34</w:t>
      </w:r>
      <w:r w:rsidRPr="005427B6">
        <w:rPr>
          <w:b/>
        </w:rPr>
        <w:t xml:space="preserve">: </w:t>
      </w:r>
      <w:r>
        <w:rPr>
          <w:b/>
        </w:rPr>
        <w:t xml:space="preserve">Support a single DCI triggering multiple AP CSI-RS resource sets. </w:t>
      </w:r>
    </w:p>
    <w:p w14:paraId="750716B0" w14:textId="77777777" w:rsidR="002629E2" w:rsidRDefault="002629E2" w:rsidP="002629E2">
      <w:pPr>
        <w:jc w:val="both"/>
        <w:rPr>
          <w:b/>
        </w:rPr>
      </w:pPr>
      <w:r w:rsidRPr="00F00844">
        <w:rPr>
          <w:b/>
          <w:u w:val="single"/>
        </w:rPr>
        <w:t>Proposal 35</w:t>
      </w:r>
      <w:r w:rsidRPr="004E733A">
        <w:rPr>
          <w:b/>
        </w:rPr>
        <w:t>: For MAC</w:t>
      </w:r>
      <w:r w:rsidRPr="00B34764">
        <w:rPr>
          <w:b/>
        </w:rPr>
        <w:t>-CE based TCI state switch delay</w:t>
      </w:r>
      <w:r>
        <w:rPr>
          <w:b/>
        </w:rPr>
        <w:t xml:space="preserve"> defined in 38.133, the additional SSB waiting time can be saved if the SSB as the root QCL source of the activated TCI state satisfies the following condition:</w:t>
      </w:r>
    </w:p>
    <w:p w14:paraId="2BFE5680" w14:textId="77777777" w:rsidR="002629E2" w:rsidRPr="00B34764" w:rsidRDefault="002629E2" w:rsidP="002629E2">
      <w:pPr>
        <w:numPr>
          <w:ilvl w:val="0"/>
          <w:numId w:val="4"/>
        </w:numPr>
        <w:rPr>
          <w:rFonts w:eastAsia="Times New Roman"/>
          <w:b/>
        </w:rPr>
      </w:pPr>
      <w:r w:rsidRPr="00B34764">
        <w:rPr>
          <w:rFonts w:eastAsia="Times New Roman"/>
          <w:b/>
        </w:rPr>
        <w:t>Th</w:t>
      </w:r>
      <w:r>
        <w:rPr>
          <w:rFonts w:eastAsia="Times New Roman"/>
          <w:b/>
        </w:rPr>
        <w:t>e latest reported L1-RSRP of this</w:t>
      </w:r>
      <w:r w:rsidRPr="00B34764">
        <w:rPr>
          <w:rFonts w:eastAsia="Times New Roman"/>
          <w:b/>
        </w:rPr>
        <w:t xml:space="preserve"> SSB </w:t>
      </w:r>
      <w:r>
        <w:rPr>
          <w:rFonts w:eastAsia="Times New Roman"/>
          <w:b/>
        </w:rPr>
        <w:t xml:space="preserve">is reported </w:t>
      </w:r>
      <w:r w:rsidRPr="00B34764">
        <w:rPr>
          <w:rFonts w:eastAsia="Times New Roman"/>
          <w:b/>
        </w:rPr>
        <w:t>within X ms before the end of ACK for the MAC-CE</w:t>
      </w:r>
      <w:r>
        <w:rPr>
          <w:rFonts w:eastAsia="Times New Roman"/>
          <w:b/>
        </w:rPr>
        <w:t xml:space="preserve"> and exceeds a minimum threshold, which can be configured by gNB or fixed in spec, e.g. corresponding to SNR </w:t>
      </w:r>
      <w:r>
        <w:rPr>
          <w:rFonts w:ascii="Symbol" w:eastAsia="Symbol" w:hAnsi="Symbol" w:cs="Symbol"/>
          <w:b/>
        </w:rPr>
        <w:t>³</w:t>
      </w:r>
      <w:r>
        <w:rPr>
          <w:rFonts w:eastAsia="Times New Roman"/>
          <w:b/>
        </w:rPr>
        <w:t xml:space="preserve"> -3dB.</w:t>
      </w:r>
    </w:p>
    <w:p w14:paraId="25575F2A" w14:textId="5FC73B9B" w:rsidR="004C6858" w:rsidRDefault="00725C45" w:rsidP="004C6858">
      <w:pPr>
        <w:jc w:val="both"/>
        <w:rPr>
          <w:b/>
        </w:rPr>
      </w:pPr>
      <w:r w:rsidRPr="005427B6">
        <w:rPr>
          <w:b/>
          <w:u w:val="single"/>
        </w:rPr>
        <w:t xml:space="preserve">Proposal </w:t>
      </w:r>
      <w:r>
        <w:rPr>
          <w:b/>
          <w:u w:val="single"/>
        </w:rPr>
        <w:t>36</w:t>
      </w:r>
      <w:r w:rsidRPr="005427B6">
        <w:rPr>
          <w:b/>
        </w:rPr>
        <w:t xml:space="preserve">: </w:t>
      </w:r>
      <w:r>
        <w:rPr>
          <w:b/>
        </w:rPr>
        <w:t xml:space="preserve">For </w:t>
      </w:r>
      <w:r w:rsidRPr="00B34764">
        <w:rPr>
          <w:b/>
        </w:rPr>
        <w:t xml:space="preserve">MAC-CE based </w:t>
      </w:r>
      <w:r>
        <w:rPr>
          <w:b/>
        </w:rPr>
        <w:t>PL RS activation, the same activated PL RS ID and corresponding target SRI or SRS resource set ID as indicated by the MAC-CE can be applied to multiple CCs</w:t>
      </w:r>
      <w:r w:rsidR="004C6858">
        <w:rPr>
          <w:b/>
        </w:rPr>
        <w:t>.</w:t>
      </w:r>
    </w:p>
    <w:p w14:paraId="6E12E48D" w14:textId="11BE9896" w:rsidR="00BE422D" w:rsidRPr="006C1A0F" w:rsidRDefault="004C6858" w:rsidP="00B94832">
      <w:pPr>
        <w:jc w:val="both"/>
        <w:rPr>
          <w:b/>
        </w:rPr>
      </w:pPr>
      <w:r w:rsidRPr="005427B6">
        <w:rPr>
          <w:b/>
          <w:u w:val="single"/>
        </w:rPr>
        <w:t xml:space="preserve">Proposal </w:t>
      </w:r>
      <w:r w:rsidR="00BA3F5E">
        <w:rPr>
          <w:b/>
          <w:u w:val="single"/>
        </w:rPr>
        <w:t>37</w:t>
      </w:r>
      <w:r w:rsidRPr="005427B6">
        <w:rPr>
          <w:b/>
        </w:rPr>
        <w:t xml:space="preserve">: </w:t>
      </w:r>
      <w:r>
        <w:rPr>
          <w:b/>
        </w:rPr>
        <w:t xml:space="preserve">For </w:t>
      </w:r>
      <w:r w:rsidRPr="00B34764">
        <w:rPr>
          <w:b/>
        </w:rPr>
        <w:t xml:space="preserve">MAC-CE based </w:t>
      </w:r>
      <w:r>
        <w:rPr>
          <w:b/>
        </w:rPr>
        <w:t>PL RS switch delay defined in 38.133, the fixed 5 samples can be replaced by the reported UE capability.</w:t>
      </w:r>
    </w:p>
    <w:p w14:paraId="352C69E5" w14:textId="77777777" w:rsidR="006C1A0F" w:rsidRPr="006C1A0F" w:rsidRDefault="006C1A0F" w:rsidP="009B66A1">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03E7573A" w14:textId="3F13B3C9" w:rsidR="006C1A0F" w:rsidRDefault="006C1A0F" w:rsidP="006C1A0F">
      <w:pPr>
        <w:numPr>
          <w:ilvl w:val="0"/>
          <w:numId w:val="2"/>
        </w:numPr>
        <w:spacing w:after="0"/>
        <w:rPr>
          <w:rFonts w:eastAsia="PMingLiU"/>
          <w:lang w:val="en-US"/>
        </w:rPr>
      </w:pPr>
      <w:r w:rsidRPr="006C1A0F">
        <w:rPr>
          <w:rFonts w:eastAsia="PMingLiU"/>
          <w:lang w:val="en-US"/>
        </w:rPr>
        <w:t>R1-2007151 R17 ReMIMO EVM final</w:t>
      </w:r>
    </w:p>
    <w:p w14:paraId="5D0A0829" w14:textId="77777777" w:rsidR="006C1A0F" w:rsidRPr="006C1A0F" w:rsidRDefault="006C1A0F" w:rsidP="006C1A0F">
      <w:pPr>
        <w:spacing w:after="0"/>
        <w:ind w:left="360"/>
        <w:rPr>
          <w:rFonts w:eastAsia="PMingLiU"/>
          <w:lang w:val="en-US"/>
        </w:rPr>
      </w:pPr>
    </w:p>
    <w:p w14:paraId="50BEED84" w14:textId="77777777" w:rsidR="0018736E" w:rsidRPr="006C1A0F" w:rsidRDefault="0018736E" w:rsidP="006C1A0F"/>
    <w:sectPr w:rsidR="0018736E" w:rsidRPr="006C1A0F" w:rsidSect="00F510BE">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DF4E0" w14:textId="77777777" w:rsidR="0022140E" w:rsidRDefault="0022140E" w:rsidP="00CB4000">
      <w:pPr>
        <w:spacing w:after="0"/>
      </w:pPr>
      <w:r>
        <w:separator/>
      </w:r>
    </w:p>
  </w:endnote>
  <w:endnote w:type="continuationSeparator" w:id="0">
    <w:p w14:paraId="34C1E2DF" w14:textId="77777777" w:rsidR="0022140E" w:rsidRDefault="0022140E" w:rsidP="00CB4000">
      <w:pPr>
        <w:spacing w:after="0"/>
      </w:pPr>
      <w:r>
        <w:continuationSeparator/>
      </w:r>
    </w:p>
  </w:endnote>
  <w:endnote w:type="continuationNotice" w:id="1">
    <w:p w14:paraId="085DA4F8" w14:textId="77777777" w:rsidR="0022140E" w:rsidRDefault="00221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8478E" w14:textId="77777777" w:rsidR="0022140E" w:rsidRDefault="0022140E" w:rsidP="00CB4000">
      <w:pPr>
        <w:spacing w:after="0"/>
      </w:pPr>
      <w:r>
        <w:separator/>
      </w:r>
    </w:p>
  </w:footnote>
  <w:footnote w:type="continuationSeparator" w:id="0">
    <w:p w14:paraId="14B8EC79" w14:textId="77777777" w:rsidR="0022140E" w:rsidRDefault="0022140E" w:rsidP="00CB4000">
      <w:pPr>
        <w:spacing w:after="0"/>
      </w:pPr>
      <w:r>
        <w:continuationSeparator/>
      </w:r>
    </w:p>
  </w:footnote>
  <w:footnote w:type="continuationNotice" w:id="1">
    <w:p w14:paraId="6725AEF6" w14:textId="77777777" w:rsidR="0022140E" w:rsidRDefault="002214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5038C"/>
    <w:multiLevelType w:val="hybridMultilevel"/>
    <w:tmpl w:val="833E4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4"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6"/>
  </w:num>
  <w:num w:numId="4">
    <w:abstractNumId w:val="0"/>
  </w:num>
  <w:num w:numId="5">
    <w:abstractNumId w:val="30"/>
  </w:num>
  <w:num w:numId="6">
    <w:abstractNumId w:val="26"/>
  </w:num>
  <w:num w:numId="7">
    <w:abstractNumId w:val="28"/>
  </w:num>
  <w:num w:numId="8">
    <w:abstractNumId w:val="20"/>
  </w:num>
  <w:num w:numId="9">
    <w:abstractNumId w:val="22"/>
  </w:num>
  <w:num w:numId="10">
    <w:abstractNumId w:val="21"/>
  </w:num>
  <w:num w:numId="11">
    <w:abstractNumId w:val="13"/>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1"/>
  </w:num>
  <w:num w:numId="15">
    <w:abstractNumId w:val="11"/>
  </w:num>
  <w:num w:numId="16">
    <w:abstractNumId w:val="10"/>
  </w:num>
  <w:num w:numId="17">
    <w:abstractNumId w:val="18"/>
  </w:num>
  <w:num w:numId="18">
    <w:abstractNumId w:val="19"/>
  </w:num>
  <w:num w:numId="19">
    <w:abstractNumId w:val="1"/>
  </w:num>
  <w:num w:numId="20">
    <w:abstractNumId w:val="6"/>
  </w:num>
  <w:num w:numId="21">
    <w:abstractNumId w:val="15"/>
  </w:num>
  <w:num w:numId="22">
    <w:abstractNumId w:val="5"/>
  </w:num>
  <w:num w:numId="23">
    <w:abstractNumId w:val="7"/>
  </w:num>
  <w:num w:numId="24">
    <w:abstractNumId w:val="3"/>
  </w:num>
  <w:num w:numId="25">
    <w:abstractNumId w:val="23"/>
  </w:num>
  <w:num w:numId="26">
    <w:abstractNumId w:val="14"/>
  </w:num>
  <w:num w:numId="27">
    <w:abstractNumId w:val="27"/>
  </w:num>
  <w:num w:numId="28">
    <w:abstractNumId w:val="29"/>
  </w:num>
  <w:num w:numId="29">
    <w:abstractNumId w:val="8"/>
  </w:num>
  <w:num w:numId="30">
    <w:abstractNumId w:val="12"/>
  </w:num>
  <w:num w:numId="31">
    <w:abstractNumId w:val="4"/>
  </w:num>
  <w:num w:numId="32">
    <w:abstractNumId w:val="9"/>
  </w:num>
  <w:num w:numId="3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6DB"/>
    <w:rsid w:val="00020B93"/>
    <w:rsid w:val="0002142C"/>
    <w:rsid w:val="000216CF"/>
    <w:rsid w:val="00023484"/>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19DC"/>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4B4E"/>
    <w:rsid w:val="00044BC5"/>
    <w:rsid w:val="00045719"/>
    <w:rsid w:val="00046583"/>
    <w:rsid w:val="00046891"/>
    <w:rsid w:val="0004701C"/>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2EB"/>
    <w:rsid w:val="00063322"/>
    <w:rsid w:val="00063385"/>
    <w:rsid w:val="00063D9E"/>
    <w:rsid w:val="000640C3"/>
    <w:rsid w:val="00064417"/>
    <w:rsid w:val="000650A0"/>
    <w:rsid w:val="000653A2"/>
    <w:rsid w:val="00065736"/>
    <w:rsid w:val="00065D76"/>
    <w:rsid w:val="00066631"/>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3D5"/>
    <w:rsid w:val="0008103B"/>
    <w:rsid w:val="00081ACE"/>
    <w:rsid w:val="00081AF1"/>
    <w:rsid w:val="00081B42"/>
    <w:rsid w:val="00081F6C"/>
    <w:rsid w:val="00082F6D"/>
    <w:rsid w:val="00083DF4"/>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F19"/>
    <w:rsid w:val="000A4FBC"/>
    <w:rsid w:val="000A6611"/>
    <w:rsid w:val="000A6E95"/>
    <w:rsid w:val="000A6F3F"/>
    <w:rsid w:val="000A77D1"/>
    <w:rsid w:val="000B075F"/>
    <w:rsid w:val="000B0BD7"/>
    <w:rsid w:val="000B0DA5"/>
    <w:rsid w:val="000B135E"/>
    <w:rsid w:val="000B143C"/>
    <w:rsid w:val="000B156E"/>
    <w:rsid w:val="000B2DF2"/>
    <w:rsid w:val="000B2EF4"/>
    <w:rsid w:val="000B356D"/>
    <w:rsid w:val="000B4609"/>
    <w:rsid w:val="000B4A59"/>
    <w:rsid w:val="000B4C82"/>
    <w:rsid w:val="000B6606"/>
    <w:rsid w:val="000B67AC"/>
    <w:rsid w:val="000B67FF"/>
    <w:rsid w:val="000B70B2"/>
    <w:rsid w:val="000B72D3"/>
    <w:rsid w:val="000B7795"/>
    <w:rsid w:val="000C0364"/>
    <w:rsid w:val="000C0A2A"/>
    <w:rsid w:val="000C0F3C"/>
    <w:rsid w:val="000C153D"/>
    <w:rsid w:val="000C266D"/>
    <w:rsid w:val="000C30B4"/>
    <w:rsid w:val="000C34F1"/>
    <w:rsid w:val="000C37F5"/>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B86"/>
    <w:rsid w:val="000D2FAD"/>
    <w:rsid w:val="000D3560"/>
    <w:rsid w:val="000D3D9A"/>
    <w:rsid w:val="000D4A69"/>
    <w:rsid w:val="000D4F1A"/>
    <w:rsid w:val="000D5237"/>
    <w:rsid w:val="000D57C4"/>
    <w:rsid w:val="000D68A7"/>
    <w:rsid w:val="000D6E16"/>
    <w:rsid w:val="000D6EEA"/>
    <w:rsid w:val="000D6F13"/>
    <w:rsid w:val="000D6F51"/>
    <w:rsid w:val="000D7892"/>
    <w:rsid w:val="000D7D46"/>
    <w:rsid w:val="000E074A"/>
    <w:rsid w:val="000E0755"/>
    <w:rsid w:val="000E12BC"/>
    <w:rsid w:val="000E12E9"/>
    <w:rsid w:val="000E1434"/>
    <w:rsid w:val="000E15BA"/>
    <w:rsid w:val="000E19E9"/>
    <w:rsid w:val="000E20C4"/>
    <w:rsid w:val="000E26DC"/>
    <w:rsid w:val="000E3248"/>
    <w:rsid w:val="000E359A"/>
    <w:rsid w:val="000E3708"/>
    <w:rsid w:val="000E3C23"/>
    <w:rsid w:val="000E575F"/>
    <w:rsid w:val="000E5CE3"/>
    <w:rsid w:val="000E6370"/>
    <w:rsid w:val="000E66F3"/>
    <w:rsid w:val="000E66FB"/>
    <w:rsid w:val="000E7149"/>
    <w:rsid w:val="000E7323"/>
    <w:rsid w:val="000E741C"/>
    <w:rsid w:val="000E7611"/>
    <w:rsid w:val="000F0804"/>
    <w:rsid w:val="000F09B4"/>
    <w:rsid w:val="000F0C37"/>
    <w:rsid w:val="000F0D77"/>
    <w:rsid w:val="000F0E27"/>
    <w:rsid w:val="000F1BC5"/>
    <w:rsid w:val="000F1C6D"/>
    <w:rsid w:val="000F2203"/>
    <w:rsid w:val="000F259C"/>
    <w:rsid w:val="000F3052"/>
    <w:rsid w:val="000F3841"/>
    <w:rsid w:val="000F3D8E"/>
    <w:rsid w:val="000F4161"/>
    <w:rsid w:val="000F42A6"/>
    <w:rsid w:val="000F5B1A"/>
    <w:rsid w:val="000F5DFC"/>
    <w:rsid w:val="000F5FEB"/>
    <w:rsid w:val="00100317"/>
    <w:rsid w:val="00100528"/>
    <w:rsid w:val="00100647"/>
    <w:rsid w:val="001006FE"/>
    <w:rsid w:val="00100D01"/>
    <w:rsid w:val="00101905"/>
    <w:rsid w:val="00102380"/>
    <w:rsid w:val="0010251A"/>
    <w:rsid w:val="00102636"/>
    <w:rsid w:val="00102781"/>
    <w:rsid w:val="00103401"/>
    <w:rsid w:val="00103BC1"/>
    <w:rsid w:val="00104094"/>
    <w:rsid w:val="00104DB7"/>
    <w:rsid w:val="00104F9D"/>
    <w:rsid w:val="00105055"/>
    <w:rsid w:val="001054E0"/>
    <w:rsid w:val="001056AB"/>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4370"/>
    <w:rsid w:val="001151D9"/>
    <w:rsid w:val="00115A1B"/>
    <w:rsid w:val="00115BEC"/>
    <w:rsid w:val="001165A1"/>
    <w:rsid w:val="001168B5"/>
    <w:rsid w:val="00116CFD"/>
    <w:rsid w:val="00117683"/>
    <w:rsid w:val="00120562"/>
    <w:rsid w:val="001212F8"/>
    <w:rsid w:val="00121719"/>
    <w:rsid w:val="001219C9"/>
    <w:rsid w:val="00121D0F"/>
    <w:rsid w:val="001222B8"/>
    <w:rsid w:val="00123DD6"/>
    <w:rsid w:val="0012403C"/>
    <w:rsid w:val="00124482"/>
    <w:rsid w:val="001250A8"/>
    <w:rsid w:val="00125309"/>
    <w:rsid w:val="00125AB7"/>
    <w:rsid w:val="001262AF"/>
    <w:rsid w:val="00126987"/>
    <w:rsid w:val="00126FF0"/>
    <w:rsid w:val="00127117"/>
    <w:rsid w:val="00127AC2"/>
    <w:rsid w:val="0013058D"/>
    <w:rsid w:val="001306AC"/>
    <w:rsid w:val="00130F77"/>
    <w:rsid w:val="0013167B"/>
    <w:rsid w:val="00132980"/>
    <w:rsid w:val="00132FC8"/>
    <w:rsid w:val="001333A6"/>
    <w:rsid w:val="001333AA"/>
    <w:rsid w:val="00133600"/>
    <w:rsid w:val="00133891"/>
    <w:rsid w:val="00134226"/>
    <w:rsid w:val="0013440F"/>
    <w:rsid w:val="00134B2F"/>
    <w:rsid w:val="00134B63"/>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980"/>
    <w:rsid w:val="00144DED"/>
    <w:rsid w:val="00144FD3"/>
    <w:rsid w:val="00145527"/>
    <w:rsid w:val="00145A94"/>
    <w:rsid w:val="00145B24"/>
    <w:rsid w:val="00145FF1"/>
    <w:rsid w:val="0014608B"/>
    <w:rsid w:val="001461A3"/>
    <w:rsid w:val="001462C9"/>
    <w:rsid w:val="00146A0B"/>
    <w:rsid w:val="00146A81"/>
    <w:rsid w:val="001475E6"/>
    <w:rsid w:val="001476C8"/>
    <w:rsid w:val="00147DEE"/>
    <w:rsid w:val="0015002B"/>
    <w:rsid w:val="001507B1"/>
    <w:rsid w:val="001509AE"/>
    <w:rsid w:val="00151B73"/>
    <w:rsid w:val="0015211A"/>
    <w:rsid w:val="001529BF"/>
    <w:rsid w:val="00152FE4"/>
    <w:rsid w:val="00153091"/>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74E7"/>
    <w:rsid w:val="00157669"/>
    <w:rsid w:val="00160438"/>
    <w:rsid w:val="00160EEA"/>
    <w:rsid w:val="00163278"/>
    <w:rsid w:val="00163484"/>
    <w:rsid w:val="001634E5"/>
    <w:rsid w:val="00163FD0"/>
    <w:rsid w:val="00164EC1"/>
    <w:rsid w:val="00164FB3"/>
    <w:rsid w:val="0016505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55C"/>
    <w:rsid w:val="00191734"/>
    <w:rsid w:val="001918B5"/>
    <w:rsid w:val="00191B96"/>
    <w:rsid w:val="0019280F"/>
    <w:rsid w:val="00192DC0"/>
    <w:rsid w:val="00192DF7"/>
    <w:rsid w:val="00193689"/>
    <w:rsid w:val="001940F0"/>
    <w:rsid w:val="0019423D"/>
    <w:rsid w:val="0019442D"/>
    <w:rsid w:val="001944D4"/>
    <w:rsid w:val="001949EF"/>
    <w:rsid w:val="00194B7C"/>
    <w:rsid w:val="0019512E"/>
    <w:rsid w:val="0019527B"/>
    <w:rsid w:val="00195A7F"/>
    <w:rsid w:val="00195B0F"/>
    <w:rsid w:val="00196079"/>
    <w:rsid w:val="0019720A"/>
    <w:rsid w:val="001A04F1"/>
    <w:rsid w:val="001A0D5B"/>
    <w:rsid w:val="001A15D3"/>
    <w:rsid w:val="001A1979"/>
    <w:rsid w:val="001A1F6D"/>
    <w:rsid w:val="001A2ABD"/>
    <w:rsid w:val="001A321D"/>
    <w:rsid w:val="001A3918"/>
    <w:rsid w:val="001A3AC8"/>
    <w:rsid w:val="001A3B0F"/>
    <w:rsid w:val="001A3E98"/>
    <w:rsid w:val="001A429D"/>
    <w:rsid w:val="001A4792"/>
    <w:rsid w:val="001A5A13"/>
    <w:rsid w:val="001A715B"/>
    <w:rsid w:val="001A724B"/>
    <w:rsid w:val="001A7EAA"/>
    <w:rsid w:val="001A7F0F"/>
    <w:rsid w:val="001B0439"/>
    <w:rsid w:val="001B04D4"/>
    <w:rsid w:val="001B0747"/>
    <w:rsid w:val="001B120B"/>
    <w:rsid w:val="001B1214"/>
    <w:rsid w:val="001B1F81"/>
    <w:rsid w:val="001B2865"/>
    <w:rsid w:val="001B2C91"/>
    <w:rsid w:val="001B2FC5"/>
    <w:rsid w:val="001B3535"/>
    <w:rsid w:val="001B3E79"/>
    <w:rsid w:val="001B494C"/>
    <w:rsid w:val="001B5947"/>
    <w:rsid w:val="001B5CDA"/>
    <w:rsid w:val="001B5F3F"/>
    <w:rsid w:val="001B6F70"/>
    <w:rsid w:val="001B7135"/>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3327"/>
    <w:rsid w:val="001C3C76"/>
    <w:rsid w:val="001C4143"/>
    <w:rsid w:val="001C427C"/>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1ACD"/>
    <w:rsid w:val="001D244B"/>
    <w:rsid w:val="001D24C0"/>
    <w:rsid w:val="001D3670"/>
    <w:rsid w:val="001D3722"/>
    <w:rsid w:val="001D3C12"/>
    <w:rsid w:val="001D3C75"/>
    <w:rsid w:val="001D3E08"/>
    <w:rsid w:val="001D4259"/>
    <w:rsid w:val="001D43B3"/>
    <w:rsid w:val="001D4434"/>
    <w:rsid w:val="001D49A9"/>
    <w:rsid w:val="001D49B6"/>
    <w:rsid w:val="001D5037"/>
    <w:rsid w:val="001D576A"/>
    <w:rsid w:val="001D5915"/>
    <w:rsid w:val="001D6824"/>
    <w:rsid w:val="001D6BD2"/>
    <w:rsid w:val="001D791D"/>
    <w:rsid w:val="001E0E1B"/>
    <w:rsid w:val="001E16F1"/>
    <w:rsid w:val="001E1704"/>
    <w:rsid w:val="001E181C"/>
    <w:rsid w:val="001E1B00"/>
    <w:rsid w:val="001E1FB6"/>
    <w:rsid w:val="001E24A1"/>
    <w:rsid w:val="001E31A3"/>
    <w:rsid w:val="001E372B"/>
    <w:rsid w:val="001E382D"/>
    <w:rsid w:val="001E3935"/>
    <w:rsid w:val="001E3FF2"/>
    <w:rsid w:val="001E4D82"/>
    <w:rsid w:val="001E4DDD"/>
    <w:rsid w:val="001E5415"/>
    <w:rsid w:val="001E5560"/>
    <w:rsid w:val="001E55A3"/>
    <w:rsid w:val="001E58D3"/>
    <w:rsid w:val="001E6682"/>
    <w:rsid w:val="001E695B"/>
    <w:rsid w:val="001E75CC"/>
    <w:rsid w:val="001E79D4"/>
    <w:rsid w:val="001E7F73"/>
    <w:rsid w:val="001F02F8"/>
    <w:rsid w:val="001F121C"/>
    <w:rsid w:val="001F1608"/>
    <w:rsid w:val="001F1FCC"/>
    <w:rsid w:val="001F370E"/>
    <w:rsid w:val="001F37CE"/>
    <w:rsid w:val="001F4056"/>
    <w:rsid w:val="001F411E"/>
    <w:rsid w:val="001F418C"/>
    <w:rsid w:val="001F43BC"/>
    <w:rsid w:val="001F4583"/>
    <w:rsid w:val="001F4682"/>
    <w:rsid w:val="001F60D6"/>
    <w:rsid w:val="001F616C"/>
    <w:rsid w:val="001F64BB"/>
    <w:rsid w:val="001F7451"/>
    <w:rsid w:val="001F7941"/>
    <w:rsid w:val="001F7A22"/>
    <w:rsid w:val="002026C8"/>
    <w:rsid w:val="00202F2C"/>
    <w:rsid w:val="0020326A"/>
    <w:rsid w:val="002036F3"/>
    <w:rsid w:val="00203ECF"/>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6F4B"/>
    <w:rsid w:val="002171AD"/>
    <w:rsid w:val="002173FB"/>
    <w:rsid w:val="00220642"/>
    <w:rsid w:val="00221010"/>
    <w:rsid w:val="00221110"/>
    <w:rsid w:val="0022140E"/>
    <w:rsid w:val="002217CC"/>
    <w:rsid w:val="00221831"/>
    <w:rsid w:val="002219AD"/>
    <w:rsid w:val="0022261D"/>
    <w:rsid w:val="002229FF"/>
    <w:rsid w:val="002236DB"/>
    <w:rsid w:val="00223912"/>
    <w:rsid w:val="00223FC5"/>
    <w:rsid w:val="0022431F"/>
    <w:rsid w:val="00224515"/>
    <w:rsid w:val="0022507C"/>
    <w:rsid w:val="00225081"/>
    <w:rsid w:val="00225F73"/>
    <w:rsid w:val="0022612F"/>
    <w:rsid w:val="0022621A"/>
    <w:rsid w:val="0022650B"/>
    <w:rsid w:val="00227070"/>
    <w:rsid w:val="00227090"/>
    <w:rsid w:val="00227259"/>
    <w:rsid w:val="00227466"/>
    <w:rsid w:val="002277FB"/>
    <w:rsid w:val="00227CBD"/>
    <w:rsid w:val="0023067E"/>
    <w:rsid w:val="00230AB4"/>
    <w:rsid w:val="0023110B"/>
    <w:rsid w:val="002316C5"/>
    <w:rsid w:val="0023243B"/>
    <w:rsid w:val="00232DE4"/>
    <w:rsid w:val="00232FC5"/>
    <w:rsid w:val="0023341E"/>
    <w:rsid w:val="002336BF"/>
    <w:rsid w:val="00233FDC"/>
    <w:rsid w:val="0023406C"/>
    <w:rsid w:val="00234841"/>
    <w:rsid w:val="00234F0C"/>
    <w:rsid w:val="002350E7"/>
    <w:rsid w:val="00235131"/>
    <w:rsid w:val="00235558"/>
    <w:rsid w:val="00235B97"/>
    <w:rsid w:val="00235D22"/>
    <w:rsid w:val="00236315"/>
    <w:rsid w:val="00236D33"/>
    <w:rsid w:val="00240386"/>
    <w:rsid w:val="002405C3"/>
    <w:rsid w:val="0024077E"/>
    <w:rsid w:val="0024118D"/>
    <w:rsid w:val="002420E0"/>
    <w:rsid w:val="00242659"/>
    <w:rsid w:val="00242F15"/>
    <w:rsid w:val="00243B9B"/>
    <w:rsid w:val="00243BA8"/>
    <w:rsid w:val="00243C99"/>
    <w:rsid w:val="0024578D"/>
    <w:rsid w:val="00245919"/>
    <w:rsid w:val="00245BAE"/>
    <w:rsid w:val="00245DD1"/>
    <w:rsid w:val="0024657C"/>
    <w:rsid w:val="00246983"/>
    <w:rsid w:val="00246ABC"/>
    <w:rsid w:val="00247E88"/>
    <w:rsid w:val="00251652"/>
    <w:rsid w:val="00251FAE"/>
    <w:rsid w:val="0025245F"/>
    <w:rsid w:val="00252671"/>
    <w:rsid w:val="002527A9"/>
    <w:rsid w:val="002528C4"/>
    <w:rsid w:val="00252980"/>
    <w:rsid w:val="002529BE"/>
    <w:rsid w:val="00252D50"/>
    <w:rsid w:val="00253032"/>
    <w:rsid w:val="0025352F"/>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1826"/>
    <w:rsid w:val="00261B4A"/>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701C7"/>
    <w:rsid w:val="00270399"/>
    <w:rsid w:val="0027043E"/>
    <w:rsid w:val="0027087B"/>
    <w:rsid w:val="00271456"/>
    <w:rsid w:val="002714AD"/>
    <w:rsid w:val="00271F22"/>
    <w:rsid w:val="002727C4"/>
    <w:rsid w:val="002727F5"/>
    <w:rsid w:val="002729B3"/>
    <w:rsid w:val="0027581B"/>
    <w:rsid w:val="002758E3"/>
    <w:rsid w:val="00275D8F"/>
    <w:rsid w:val="00276B8D"/>
    <w:rsid w:val="002773B9"/>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560"/>
    <w:rsid w:val="00285B3D"/>
    <w:rsid w:val="00285D8F"/>
    <w:rsid w:val="0028687A"/>
    <w:rsid w:val="002870A7"/>
    <w:rsid w:val="00287103"/>
    <w:rsid w:val="00287744"/>
    <w:rsid w:val="0029034C"/>
    <w:rsid w:val="00290D47"/>
    <w:rsid w:val="0029171F"/>
    <w:rsid w:val="002923FF"/>
    <w:rsid w:val="00292A07"/>
    <w:rsid w:val="00292CCB"/>
    <w:rsid w:val="00293A3C"/>
    <w:rsid w:val="00293AA6"/>
    <w:rsid w:val="00293ED1"/>
    <w:rsid w:val="00294254"/>
    <w:rsid w:val="00294912"/>
    <w:rsid w:val="00294BBA"/>
    <w:rsid w:val="00295BC5"/>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2F7"/>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56C1"/>
    <w:rsid w:val="002C6203"/>
    <w:rsid w:val="002C6270"/>
    <w:rsid w:val="002C6962"/>
    <w:rsid w:val="002C6FB9"/>
    <w:rsid w:val="002C750C"/>
    <w:rsid w:val="002D02E1"/>
    <w:rsid w:val="002D0519"/>
    <w:rsid w:val="002D0923"/>
    <w:rsid w:val="002D0A79"/>
    <w:rsid w:val="002D13BE"/>
    <w:rsid w:val="002D1C28"/>
    <w:rsid w:val="002D1C6B"/>
    <w:rsid w:val="002D1FB7"/>
    <w:rsid w:val="002D2723"/>
    <w:rsid w:val="002D2C74"/>
    <w:rsid w:val="002D2F36"/>
    <w:rsid w:val="002D3C4D"/>
    <w:rsid w:val="002D4C0B"/>
    <w:rsid w:val="002D4ED2"/>
    <w:rsid w:val="002D5559"/>
    <w:rsid w:val="002D5937"/>
    <w:rsid w:val="002D608C"/>
    <w:rsid w:val="002D6537"/>
    <w:rsid w:val="002D7B30"/>
    <w:rsid w:val="002D7EA7"/>
    <w:rsid w:val="002E1321"/>
    <w:rsid w:val="002E1A4E"/>
    <w:rsid w:val="002E1BB3"/>
    <w:rsid w:val="002E2959"/>
    <w:rsid w:val="002E2F25"/>
    <w:rsid w:val="002E31CF"/>
    <w:rsid w:val="002E48BA"/>
    <w:rsid w:val="002E5093"/>
    <w:rsid w:val="002E51C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0F62"/>
    <w:rsid w:val="002F2832"/>
    <w:rsid w:val="002F3B89"/>
    <w:rsid w:val="002F43AF"/>
    <w:rsid w:val="002F4FF9"/>
    <w:rsid w:val="002F5178"/>
    <w:rsid w:val="002F5210"/>
    <w:rsid w:val="002F5267"/>
    <w:rsid w:val="002F5A57"/>
    <w:rsid w:val="002F5DDB"/>
    <w:rsid w:val="002F648F"/>
    <w:rsid w:val="002F7415"/>
    <w:rsid w:val="002F7AF1"/>
    <w:rsid w:val="002F7B62"/>
    <w:rsid w:val="00300997"/>
    <w:rsid w:val="00300ED2"/>
    <w:rsid w:val="0030235A"/>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BFA"/>
    <w:rsid w:val="00310DC4"/>
    <w:rsid w:val="0031150D"/>
    <w:rsid w:val="00311BEE"/>
    <w:rsid w:val="00311F29"/>
    <w:rsid w:val="00311F99"/>
    <w:rsid w:val="0031237D"/>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4012"/>
    <w:rsid w:val="00324261"/>
    <w:rsid w:val="00324434"/>
    <w:rsid w:val="003247E3"/>
    <w:rsid w:val="00324928"/>
    <w:rsid w:val="0032512D"/>
    <w:rsid w:val="00325F4B"/>
    <w:rsid w:val="00326406"/>
    <w:rsid w:val="00326C84"/>
    <w:rsid w:val="003277A3"/>
    <w:rsid w:val="0032795C"/>
    <w:rsid w:val="00327ABE"/>
    <w:rsid w:val="003300B0"/>
    <w:rsid w:val="00330917"/>
    <w:rsid w:val="00330E95"/>
    <w:rsid w:val="0033114A"/>
    <w:rsid w:val="00331668"/>
    <w:rsid w:val="00331D77"/>
    <w:rsid w:val="00332D97"/>
    <w:rsid w:val="00332E01"/>
    <w:rsid w:val="00332F19"/>
    <w:rsid w:val="00333266"/>
    <w:rsid w:val="00333454"/>
    <w:rsid w:val="00333935"/>
    <w:rsid w:val="00333CE6"/>
    <w:rsid w:val="003343F8"/>
    <w:rsid w:val="003347D9"/>
    <w:rsid w:val="003348DE"/>
    <w:rsid w:val="00334CE5"/>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630F"/>
    <w:rsid w:val="00347313"/>
    <w:rsid w:val="00347465"/>
    <w:rsid w:val="0034762E"/>
    <w:rsid w:val="00347762"/>
    <w:rsid w:val="00347921"/>
    <w:rsid w:val="00347B82"/>
    <w:rsid w:val="00347E7A"/>
    <w:rsid w:val="00350398"/>
    <w:rsid w:val="00350C10"/>
    <w:rsid w:val="0035104B"/>
    <w:rsid w:val="0035194B"/>
    <w:rsid w:val="00351B1C"/>
    <w:rsid w:val="00351EBC"/>
    <w:rsid w:val="00352DD7"/>
    <w:rsid w:val="003537B6"/>
    <w:rsid w:val="003544EF"/>
    <w:rsid w:val="00354629"/>
    <w:rsid w:val="003561A8"/>
    <w:rsid w:val="0035661E"/>
    <w:rsid w:val="003567AB"/>
    <w:rsid w:val="00360004"/>
    <w:rsid w:val="003607DB"/>
    <w:rsid w:val="003608F3"/>
    <w:rsid w:val="00360BC5"/>
    <w:rsid w:val="00360EA8"/>
    <w:rsid w:val="00360FA7"/>
    <w:rsid w:val="003622A8"/>
    <w:rsid w:val="003623A2"/>
    <w:rsid w:val="003623FA"/>
    <w:rsid w:val="0036382E"/>
    <w:rsid w:val="00363D15"/>
    <w:rsid w:val="00364AC5"/>
    <w:rsid w:val="00364AE6"/>
    <w:rsid w:val="00364E60"/>
    <w:rsid w:val="00365117"/>
    <w:rsid w:val="0036530B"/>
    <w:rsid w:val="00366E58"/>
    <w:rsid w:val="00366F38"/>
    <w:rsid w:val="00367246"/>
    <w:rsid w:val="0036759C"/>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211B"/>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969"/>
    <w:rsid w:val="00385AEB"/>
    <w:rsid w:val="00386442"/>
    <w:rsid w:val="00386499"/>
    <w:rsid w:val="003869E8"/>
    <w:rsid w:val="00386CDC"/>
    <w:rsid w:val="00387953"/>
    <w:rsid w:val="00387CE4"/>
    <w:rsid w:val="00390C82"/>
    <w:rsid w:val="00390E90"/>
    <w:rsid w:val="00391FFE"/>
    <w:rsid w:val="003927E4"/>
    <w:rsid w:val="00392BE0"/>
    <w:rsid w:val="00393068"/>
    <w:rsid w:val="00393391"/>
    <w:rsid w:val="00393471"/>
    <w:rsid w:val="003934E1"/>
    <w:rsid w:val="00393DF2"/>
    <w:rsid w:val="00393E63"/>
    <w:rsid w:val="003944A3"/>
    <w:rsid w:val="0039478A"/>
    <w:rsid w:val="003954CD"/>
    <w:rsid w:val="00397F26"/>
    <w:rsid w:val="00397F9B"/>
    <w:rsid w:val="003A0A50"/>
    <w:rsid w:val="003A1265"/>
    <w:rsid w:val="003A13A2"/>
    <w:rsid w:val="003A1543"/>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4011"/>
    <w:rsid w:val="003B405C"/>
    <w:rsid w:val="003B40DC"/>
    <w:rsid w:val="003B4206"/>
    <w:rsid w:val="003B4C2B"/>
    <w:rsid w:val="003B4E4A"/>
    <w:rsid w:val="003B62CE"/>
    <w:rsid w:val="003B6477"/>
    <w:rsid w:val="003B65C9"/>
    <w:rsid w:val="003B6A3B"/>
    <w:rsid w:val="003B6ADA"/>
    <w:rsid w:val="003B70AF"/>
    <w:rsid w:val="003B7A17"/>
    <w:rsid w:val="003C04DE"/>
    <w:rsid w:val="003C0757"/>
    <w:rsid w:val="003C14AC"/>
    <w:rsid w:val="003C265F"/>
    <w:rsid w:val="003C3111"/>
    <w:rsid w:val="003C319E"/>
    <w:rsid w:val="003C32DE"/>
    <w:rsid w:val="003C397C"/>
    <w:rsid w:val="003C39FE"/>
    <w:rsid w:val="003C3BF5"/>
    <w:rsid w:val="003C3E39"/>
    <w:rsid w:val="003C46E7"/>
    <w:rsid w:val="003C54E2"/>
    <w:rsid w:val="003C5E4B"/>
    <w:rsid w:val="003C65FF"/>
    <w:rsid w:val="003C6EE0"/>
    <w:rsid w:val="003C767D"/>
    <w:rsid w:val="003D0482"/>
    <w:rsid w:val="003D0760"/>
    <w:rsid w:val="003D09B9"/>
    <w:rsid w:val="003D0F8C"/>
    <w:rsid w:val="003D1BDE"/>
    <w:rsid w:val="003D2E41"/>
    <w:rsid w:val="003D2EB9"/>
    <w:rsid w:val="003D3474"/>
    <w:rsid w:val="003D41E0"/>
    <w:rsid w:val="003D43F6"/>
    <w:rsid w:val="003D4C6C"/>
    <w:rsid w:val="003D4E3B"/>
    <w:rsid w:val="003D729E"/>
    <w:rsid w:val="003D78B4"/>
    <w:rsid w:val="003E02DA"/>
    <w:rsid w:val="003E071A"/>
    <w:rsid w:val="003E0DC3"/>
    <w:rsid w:val="003E15D7"/>
    <w:rsid w:val="003E16EE"/>
    <w:rsid w:val="003E17B8"/>
    <w:rsid w:val="003E18A3"/>
    <w:rsid w:val="003E251C"/>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EBC"/>
    <w:rsid w:val="003F0BE7"/>
    <w:rsid w:val="003F1F4B"/>
    <w:rsid w:val="003F237C"/>
    <w:rsid w:val="003F23D6"/>
    <w:rsid w:val="003F2437"/>
    <w:rsid w:val="003F34FA"/>
    <w:rsid w:val="003F456D"/>
    <w:rsid w:val="003F4630"/>
    <w:rsid w:val="003F4665"/>
    <w:rsid w:val="003F4EB3"/>
    <w:rsid w:val="003F5AB4"/>
    <w:rsid w:val="003F694A"/>
    <w:rsid w:val="003F6FD5"/>
    <w:rsid w:val="003F7BCA"/>
    <w:rsid w:val="0040039A"/>
    <w:rsid w:val="004005EB"/>
    <w:rsid w:val="00400621"/>
    <w:rsid w:val="004009FD"/>
    <w:rsid w:val="00400FD9"/>
    <w:rsid w:val="00402490"/>
    <w:rsid w:val="00402681"/>
    <w:rsid w:val="00403DA8"/>
    <w:rsid w:val="00404132"/>
    <w:rsid w:val="004041F1"/>
    <w:rsid w:val="004044AE"/>
    <w:rsid w:val="00404BAC"/>
    <w:rsid w:val="0040572D"/>
    <w:rsid w:val="004065AF"/>
    <w:rsid w:val="00406F12"/>
    <w:rsid w:val="00407841"/>
    <w:rsid w:val="0040799A"/>
    <w:rsid w:val="00407ACD"/>
    <w:rsid w:val="00410CB1"/>
    <w:rsid w:val="0041118D"/>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CBC"/>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4D4"/>
    <w:rsid w:val="00443BBA"/>
    <w:rsid w:val="00444A4B"/>
    <w:rsid w:val="00444CE0"/>
    <w:rsid w:val="0044507B"/>
    <w:rsid w:val="0044509F"/>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294D"/>
    <w:rsid w:val="0045326D"/>
    <w:rsid w:val="00453944"/>
    <w:rsid w:val="00453AFA"/>
    <w:rsid w:val="00453F13"/>
    <w:rsid w:val="00454597"/>
    <w:rsid w:val="0045480F"/>
    <w:rsid w:val="004550E4"/>
    <w:rsid w:val="00455F7D"/>
    <w:rsid w:val="00456370"/>
    <w:rsid w:val="00456731"/>
    <w:rsid w:val="00457F6F"/>
    <w:rsid w:val="00457FEE"/>
    <w:rsid w:val="00461B0A"/>
    <w:rsid w:val="00461EAD"/>
    <w:rsid w:val="004623EA"/>
    <w:rsid w:val="00462406"/>
    <w:rsid w:val="004624EE"/>
    <w:rsid w:val="00462E04"/>
    <w:rsid w:val="00462F97"/>
    <w:rsid w:val="00463754"/>
    <w:rsid w:val="00463AD6"/>
    <w:rsid w:val="00463D54"/>
    <w:rsid w:val="00463DB9"/>
    <w:rsid w:val="00463DBE"/>
    <w:rsid w:val="00463FF2"/>
    <w:rsid w:val="00464801"/>
    <w:rsid w:val="00465175"/>
    <w:rsid w:val="00465AB8"/>
    <w:rsid w:val="0046630F"/>
    <w:rsid w:val="00466D92"/>
    <w:rsid w:val="00467475"/>
    <w:rsid w:val="004678E0"/>
    <w:rsid w:val="00470477"/>
    <w:rsid w:val="004715BD"/>
    <w:rsid w:val="0047261F"/>
    <w:rsid w:val="0047289F"/>
    <w:rsid w:val="004731AE"/>
    <w:rsid w:val="0047320F"/>
    <w:rsid w:val="00473E96"/>
    <w:rsid w:val="004743D9"/>
    <w:rsid w:val="004750E4"/>
    <w:rsid w:val="004761CA"/>
    <w:rsid w:val="004762AF"/>
    <w:rsid w:val="004766C7"/>
    <w:rsid w:val="00476AD6"/>
    <w:rsid w:val="00476B0A"/>
    <w:rsid w:val="0047713C"/>
    <w:rsid w:val="004771C3"/>
    <w:rsid w:val="004800CC"/>
    <w:rsid w:val="004804BE"/>
    <w:rsid w:val="00481525"/>
    <w:rsid w:val="004818F9"/>
    <w:rsid w:val="00481A6C"/>
    <w:rsid w:val="00481B0D"/>
    <w:rsid w:val="00481EC2"/>
    <w:rsid w:val="00481F94"/>
    <w:rsid w:val="00482535"/>
    <w:rsid w:val="00482B88"/>
    <w:rsid w:val="00483383"/>
    <w:rsid w:val="00484069"/>
    <w:rsid w:val="0048417F"/>
    <w:rsid w:val="00485316"/>
    <w:rsid w:val="004857D8"/>
    <w:rsid w:val="00486437"/>
    <w:rsid w:val="0048670D"/>
    <w:rsid w:val="0048692D"/>
    <w:rsid w:val="00486F63"/>
    <w:rsid w:val="004878E8"/>
    <w:rsid w:val="00487CD0"/>
    <w:rsid w:val="004901D2"/>
    <w:rsid w:val="004918C7"/>
    <w:rsid w:val="00491A68"/>
    <w:rsid w:val="00492CDE"/>
    <w:rsid w:val="00493BDA"/>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A0B12"/>
    <w:rsid w:val="004A12F6"/>
    <w:rsid w:val="004A14F0"/>
    <w:rsid w:val="004A16F1"/>
    <w:rsid w:val="004A17B5"/>
    <w:rsid w:val="004A2137"/>
    <w:rsid w:val="004A2985"/>
    <w:rsid w:val="004A49B3"/>
    <w:rsid w:val="004A4A3F"/>
    <w:rsid w:val="004A50DA"/>
    <w:rsid w:val="004A5E38"/>
    <w:rsid w:val="004A629A"/>
    <w:rsid w:val="004A670A"/>
    <w:rsid w:val="004A7D61"/>
    <w:rsid w:val="004B0144"/>
    <w:rsid w:val="004B053E"/>
    <w:rsid w:val="004B23BC"/>
    <w:rsid w:val="004B25BC"/>
    <w:rsid w:val="004B2BB6"/>
    <w:rsid w:val="004B3181"/>
    <w:rsid w:val="004B3D54"/>
    <w:rsid w:val="004B43F1"/>
    <w:rsid w:val="004B48A7"/>
    <w:rsid w:val="004B4954"/>
    <w:rsid w:val="004B5256"/>
    <w:rsid w:val="004B623E"/>
    <w:rsid w:val="004B6FA2"/>
    <w:rsid w:val="004C0416"/>
    <w:rsid w:val="004C04AA"/>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789"/>
    <w:rsid w:val="004C4B60"/>
    <w:rsid w:val="004C57F8"/>
    <w:rsid w:val="004C5C1A"/>
    <w:rsid w:val="004C629D"/>
    <w:rsid w:val="004C6858"/>
    <w:rsid w:val="004C6B89"/>
    <w:rsid w:val="004C6D48"/>
    <w:rsid w:val="004C6EDC"/>
    <w:rsid w:val="004C7689"/>
    <w:rsid w:val="004C76F3"/>
    <w:rsid w:val="004C7727"/>
    <w:rsid w:val="004D02BF"/>
    <w:rsid w:val="004D0300"/>
    <w:rsid w:val="004D0DBF"/>
    <w:rsid w:val="004D0E46"/>
    <w:rsid w:val="004D0F40"/>
    <w:rsid w:val="004D126E"/>
    <w:rsid w:val="004D1715"/>
    <w:rsid w:val="004D1BEC"/>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2D81"/>
    <w:rsid w:val="004E4B64"/>
    <w:rsid w:val="004E4D83"/>
    <w:rsid w:val="004E4DE6"/>
    <w:rsid w:val="004E52A6"/>
    <w:rsid w:val="004E5500"/>
    <w:rsid w:val="004E5571"/>
    <w:rsid w:val="004E56B1"/>
    <w:rsid w:val="004E5D01"/>
    <w:rsid w:val="004E665B"/>
    <w:rsid w:val="004E673A"/>
    <w:rsid w:val="004E6B51"/>
    <w:rsid w:val="004E733A"/>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5CA6"/>
    <w:rsid w:val="004F609E"/>
    <w:rsid w:val="004F6148"/>
    <w:rsid w:val="004F6472"/>
    <w:rsid w:val="004F6569"/>
    <w:rsid w:val="004F6707"/>
    <w:rsid w:val="004F69E0"/>
    <w:rsid w:val="004F748B"/>
    <w:rsid w:val="004F7B47"/>
    <w:rsid w:val="004F7EB2"/>
    <w:rsid w:val="0050024F"/>
    <w:rsid w:val="0050040C"/>
    <w:rsid w:val="005004FF"/>
    <w:rsid w:val="005005AE"/>
    <w:rsid w:val="00500738"/>
    <w:rsid w:val="0050079E"/>
    <w:rsid w:val="005022C5"/>
    <w:rsid w:val="00502332"/>
    <w:rsid w:val="00502983"/>
    <w:rsid w:val="005032B5"/>
    <w:rsid w:val="005033CD"/>
    <w:rsid w:val="0050344A"/>
    <w:rsid w:val="005038BB"/>
    <w:rsid w:val="00503FDD"/>
    <w:rsid w:val="00504899"/>
    <w:rsid w:val="005069E3"/>
    <w:rsid w:val="00506EAE"/>
    <w:rsid w:val="00506F4E"/>
    <w:rsid w:val="00507E1D"/>
    <w:rsid w:val="00510AEA"/>
    <w:rsid w:val="00511919"/>
    <w:rsid w:val="00512543"/>
    <w:rsid w:val="00512E12"/>
    <w:rsid w:val="00512F4B"/>
    <w:rsid w:val="005130B2"/>
    <w:rsid w:val="00513284"/>
    <w:rsid w:val="0051376A"/>
    <w:rsid w:val="00513863"/>
    <w:rsid w:val="00513911"/>
    <w:rsid w:val="0051391E"/>
    <w:rsid w:val="00513D0A"/>
    <w:rsid w:val="0051439C"/>
    <w:rsid w:val="00515218"/>
    <w:rsid w:val="00515D49"/>
    <w:rsid w:val="005161FC"/>
    <w:rsid w:val="0051643C"/>
    <w:rsid w:val="005164FF"/>
    <w:rsid w:val="00516AE7"/>
    <w:rsid w:val="00516FA8"/>
    <w:rsid w:val="00517482"/>
    <w:rsid w:val="005200C5"/>
    <w:rsid w:val="0052013B"/>
    <w:rsid w:val="0052082E"/>
    <w:rsid w:val="00520C51"/>
    <w:rsid w:val="00521793"/>
    <w:rsid w:val="005218C0"/>
    <w:rsid w:val="0052224C"/>
    <w:rsid w:val="00522E97"/>
    <w:rsid w:val="005231EC"/>
    <w:rsid w:val="00523565"/>
    <w:rsid w:val="005235A5"/>
    <w:rsid w:val="00524156"/>
    <w:rsid w:val="0052457A"/>
    <w:rsid w:val="00524CEA"/>
    <w:rsid w:val="005253A1"/>
    <w:rsid w:val="00525D87"/>
    <w:rsid w:val="005264D8"/>
    <w:rsid w:val="005269C6"/>
    <w:rsid w:val="005274C5"/>
    <w:rsid w:val="00527519"/>
    <w:rsid w:val="00527561"/>
    <w:rsid w:val="00527E99"/>
    <w:rsid w:val="005306A3"/>
    <w:rsid w:val="0053131A"/>
    <w:rsid w:val="005320A9"/>
    <w:rsid w:val="00532256"/>
    <w:rsid w:val="005322BA"/>
    <w:rsid w:val="005328B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B6"/>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602C9"/>
    <w:rsid w:val="0056091F"/>
    <w:rsid w:val="0056092A"/>
    <w:rsid w:val="005609CE"/>
    <w:rsid w:val="00560FEC"/>
    <w:rsid w:val="005618B2"/>
    <w:rsid w:val="00562FB8"/>
    <w:rsid w:val="005631DC"/>
    <w:rsid w:val="0056334B"/>
    <w:rsid w:val="005633D3"/>
    <w:rsid w:val="0056499C"/>
    <w:rsid w:val="00564A52"/>
    <w:rsid w:val="00564C5F"/>
    <w:rsid w:val="00566861"/>
    <w:rsid w:val="00566D32"/>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F29"/>
    <w:rsid w:val="005754F8"/>
    <w:rsid w:val="00575A6B"/>
    <w:rsid w:val="00575B00"/>
    <w:rsid w:val="005766DD"/>
    <w:rsid w:val="005769C9"/>
    <w:rsid w:val="005772DD"/>
    <w:rsid w:val="005778EE"/>
    <w:rsid w:val="00577B60"/>
    <w:rsid w:val="00580518"/>
    <w:rsid w:val="00580AF9"/>
    <w:rsid w:val="00580CC9"/>
    <w:rsid w:val="00580FA2"/>
    <w:rsid w:val="00581AC8"/>
    <w:rsid w:val="00581AC9"/>
    <w:rsid w:val="0058251C"/>
    <w:rsid w:val="00583552"/>
    <w:rsid w:val="00583C8F"/>
    <w:rsid w:val="005840DB"/>
    <w:rsid w:val="005847EF"/>
    <w:rsid w:val="00584D80"/>
    <w:rsid w:val="00584F34"/>
    <w:rsid w:val="005854EA"/>
    <w:rsid w:val="00585C3A"/>
    <w:rsid w:val="00586AC6"/>
    <w:rsid w:val="00586C04"/>
    <w:rsid w:val="00586E2D"/>
    <w:rsid w:val="00587612"/>
    <w:rsid w:val="00587982"/>
    <w:rsid w:val="00587CBA"/>
    <w:rsid w:val="00587DDF"/>
    <w:rsid w:val="005908FA"/>
    <w:rsid w:val="00590AB5"/>
    <w:rsid w:val="00591ACA"/>
    <w:rsid w:val="00591C23"/>
    <w:rsid w:val="00592BDF"/>
    <w:rsid w:val="0059430A"/>
    <w:rsid w:val="005943C0"/>
    <w:rsid w:val="00595271"/>
    <w:rsid w:val="00595F0B"/>
    <w:rsid w:val="005973F0"/>
    <w:rsid w:val="00597811"/>
    <w:rsid w:val="00597FA5"/>
    <w:rsid w:val="005A03A3"/>
    <w:rsid w:val="005A11F4"/>
    <w:rsid w:val="005A1869"/>
    <w:rsid w:val="005A1D21"/>
    <w:rsid w:val="005A216E"/>
    <w:rsid w:val="005A29A4"/>
    <w:rsid w:val="005A34E0"/>
    <w:rsid w:val="005A3B98"/>
    <w:rsid w:val="005A3E74"/>
    <w:rsid w:val="005A4626"/>
    <w:rsid w:val="005A48C9"/>
    <w:rsid w:val="005A5011"/>
    <w:rsid w:val="005A52C7"/>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32A1"/>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36"/>
    <w:rsid w:val="005F13BE"/>
    <w:rsid w:val="005F1907"/>
    <w:rsid w:val="005F25CF"/>
    <w:rsid w:val="005F2E30"/>
    <w:rsid w:val="005F2E42"/>
    <w:rsid w:val="005F318F"/>
    <w:rsid w:val="005F3E73"/>
    <w:rsid w:val="005F40F4"/>
    <w:rsid w:val="005F4142"/>
    <w:rsid w:val="005F4787"/>
    <w:rsid w:val="005F47A0"/>
    <w:rsid w:val="005F6D91"/>
    <w:rsid w:val="005F7351"/>
    <w:rsid w:val="005F73CA"/>
    <w:rsid w:val="005F7DCB"/>
    <w:rsid w:val="006008CF"/>
    <w:rsid w:val="006009E6"/>
    <w:rsid w:val="00600A33"/>
    <w:rsid w:val="00600AC7"/>
    <w:rsid w:val="00600F44"/>
    <w:rsid w:val="00601391"/>
    <w:rsid w:val="00601C41"/>
    <w:rsid w:val="00602044"/>
    <w:rsid w:val="0060239A"/>
    <w:rsid w:val="00602B9F"/>
    <w:rsid w:val="006031DA"/>
    <w:rsid w:val="006039B1"/>
    <w:rsid w:val="00603E8E"/>
    <w:rsid w:val="006047AF"/>
    <w:rsid w:val="00604A36"/>
    <w:rsid w:val="00606072"/>
    <w:rsid w:val="00607111"/>
    <w:rsid w:val="0061048D"/>
    <w:rsid w:val="0061116D"/>
    <w:rsid w:val="0061119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325A"/>
    <w:rsid w:val="00623873"/>
    <w:rsid w:val="006239C4"/>
    <w:rsid w:val="006241CD"/>
    <w:rsid w:val="00624C40"/>
    <w:rsid w:val="006253D4"/>
    <w:rsid w:val="00626662"/>
    <w:rsid w:val="00627801"/>
    <w:rsid w:val="00630EFE"/>
    <w:rsid w:val="00631F9C"/>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02C"/>
    <w:rsid w:val="006542BB"/>
    <w:rsid w:val="0065432D"/>
    <w:rsid w:val="006548E7"/>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5FB0"/>
    <w:rsid w:val="00666039"/>
    <w:rsid w:val="006662DD"/>
    <w:rsid w:val="00666463"/>
    <w:rsid w:val="00666C53"/>
    <w:rsid w:val="00667A3B"/>
    <w:rsid w:val="00667FC4"/>
    <w:rsid w:val="0067007D"/>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B3B"/>
    <w:rsid w:val="006771D0"/>
    <w:rsid w:val="006779C1"/>
    <w:rsid w:val="00680381"/>
    <w:rsid w:val="00680C43"/>
    <w:rsid w:val="00681427"/>
    <w:rsid w:val="0068147F"/>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2EEA"/>
    <w:rsid w:val="00693799"/>
    <w:rsid w:val="00693E97"/>
    <w:rsid w:val="00694622"/>
    <w:rsid w:val="00694EC4"/>
    <w:rsid w:val="00696D60"/>
    <w:rsid w:val="0069736E"/>
    <w:rsid w:val="006A0135"/>
    <w:rsid w:val="006A077D"/>
    <w:rsid w:val="006A1118"/>
    <w:rsid w:val="006A1CDC"/>
    <w:rsid w:val="006A2116"/>
    <w:rsid w:val="006A2C37"/>
    <w:rsid w:val="006A2ED1"/>
    <w:rsid w:val="006A2FF9"/>
    <w:rsid w:val="006A35D7"/>
    <w:rsid w:val="006A3607"/>
    <w:rsid w:val="006A46F1"/>
    <w:rsid w:val="006A535A"/>
    <w:rsid w:val="006A55AF"/>
    <w:rsid w:val="006A5A8E"/>
    <w:rsid w:val="006A5BE4"/>
    <w:rsid w:val="006A604E"/>
    <w:rsid w:val="006A6F68"/>
    <w:rsid w:val="006A7D1F"/>
    <w:rsid w:val="006B0138"/>
    <w:rsid w:val="006B0796"/>
    <w:rsid w:val="006B0884"/>
    <w:rsid w:val="006B089A"/>
    <w:rsid w:val="006B0D54"/>
    <w:rsid w:val="006B132F"/>
    <w:rsid w:val="006B29E9"/>
    <w:rsid w:val="006B3A98"/>
    <w:rsid w:val="006B3C72"/>
    <w:rsid w:val="006B3DF9"/>
    <w:rsid w:val="006B4070"/>
    <w:rsid w:val="006B477D"/>
    <w:rsid w:val="006B4C22"/>
    <w:rsid w:val="006B4D39"/>
    <w:rsid w:val="006B4DF9"/>
    <w:rsid w:val="006B53C3"/>
    <w:rsid w:val="006B5D43"/>
    <w:rsid w:val="006B641F"/>
    <w:rsid w:val="006B67E0"/>
    <w:rsid w:val="006B6B5D"/>
    <w:rsid w:val="006B6BB1"/>
    <w:rsid w:val="006B6FE8"/>
    <w:rsid w:val="006B701C"/>
    <w:rsid w:val="006B7921"/>
    <w:rsid w:val="006B7F06"/>
    <w:rsid w:val="006C084E"/>
    <w:rsid w:val="006C0EEC"/>
    <w:rsid w:val="006C1A0F"/>
    <w:rsid w:val="006C1ADF"/>
    <w:rsid w:val="006C1EB1"/>
    <w:rsid w:val="006C253A"/>
    <w:rsid w:val="006C27C5"/>
    <w:rsid w:val="006C2E8A"/>
    <w:rsid w:val="006C30F1"/>
    <w:rsid w:val="006C326D"/>
    <w:rsid w:val="006C3658"/>
    <w:rsid w:val="006C3BEF"/>
    <w:rsid w:val="006C3CB8"/>
    <w:rsid w:val="006C3EEB"/>
    <w:rsid w:val="006C478E"/>
    <w:rsid w:val="006C4B2D"/>
    <w:rsid w:val="006C4C87"/>
    <w:rsid w:val="006C4FF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44B2"/>
    <w:rsid w:val="006D4530"/>
    <w:rsid w:val="006D4556"/>
    <w:rsid w:val="006D4B4E"/>
    <w:rsid w:val="006D5428"/>
    <w:rsid w:val="006D6948"/>
    <w:rsid w:val="006D6BC1"/>
    <w:rsid w:val="006D71A2"/>
    <w:rsid w:val="006D78E6"/>
    <w:rsid w:val="006D7E00"/>
    <w:rsid w:val="006D7F48"/>
    <w:rsid w:val="006E0587"/>
    <w:rsid w:val="006E07F6"/>
    <w:rsid w:val="006E0DE6"/>
    <w:rsid w:val="006E132E"/>
    <w:rsid w:val="006E18A8"/>
    <w:rsid w:val="006E198A"/>
    <w:rsid w:val="006E1BAB"/>
    <w:rsid w:val="006E1E17"/>
    <w:rsid w:val="006E1EBB"/>
    <w:rsid w:val="006E26EE"/>
    <w:rsid w:val="006E2A50"/>
    <w:rsid w:val="006E2BBF"/>
    <w:rsid w:val="006E2D95"/>
    <w:rsid w:val="006E2FC0"/>
    <w:rsid w:val="006E3B62"/>
    <w:rsid w:val="006E4D14"/>
    <w:rsid w:val="006E4EFC"/>
    <w:rsid w:val="006E4FA2"/>
    <w:rsid w:val="006E5288"/>
    <w:rsid w:val="006E5A00"/>
    <w:rsid w:val="006E5BE2"/>
    <w:rsid w:val="006E5F9F"/>
    <w:rsid w:val="006E71D4"/>
    <w:rsid w:val="006E74E9"/>
    <w:rsid w:val="006E7BBA"/>
    <w:rsid w:val="006E7DF4"/>
    <w:rsid w:val="006F0AFA"/>
    <w:rsid w:val="006F1546"/>
    <w:rsid w:val="006F1794"/>
    <w:rsid w:val="006F222D"/>
    <w:rsid w:val="006F222E"/>
    <w:rsid w:val="006F2617"/>
    <w:rsid w:val="006F2EF6"/>
    <w:rsid w:val="006F3BBD"/>
    <w:rsid w:val="006F40CC"/>
    <w:rsid w:val="006F44CE"/>
    <w:rsid w:val="006F4F7F"/>
    <w:rsid w:val="006F5676"/>
    <w:rsid w:val="006F58F1"/>
    <w:rsid w:val="006F5F84"/>
    <w:rsid w:val="006F6129"/>
    <w:rsid w:val="006F64F0"/>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4C19"/>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629"/>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194"/>
    <w:rsid w:val="00717272"/>
    <w:rsid w:val="00720ABE"/>
    <w:rsid w:val="00720CA3"/>
    <w:rsid w:val="00721116"/>
    <w:rsid w:val="007217B1"/>
    <w:rsid w:val="00721CFA"/>
    <w:rsid w:val="00721D2A"/>
    <w:rsid w:val="007226B3"/>
    <w:rsid w:val="00722BFA"/>
    <w:rsid w:val="00722E73"/>
    <w:rsid w:val="00723189"/>
    <w:rsid w:val="0072368F"/>
    <w:rsid w:val="00725366"/>
    <w:rsid w:val="00725AED"/>
    <w:rsid w:val="00725C45"/>
    <w:rsid w:val="00725F4E"/>
    <w:rsid w:val="00726327"/>
    <w:rsid w:val="007263FA"/>
    <w:rsid w:val="00727594"/>
    <w:rsid w:val="007277C8"/>
    <w:rsid w:val="00727EBF"/>
    <w:rsid w:val="0073000D"/>
    <w:rsid w:val="00731A88"/>
    <w:rsid w:val="00731CEC"/>
    <w:rsid w:val="00731D69"/>
    <w:rsid w:val="00732144"/>
    <w:rsid w:val="007323CB"/>
    <w:rsid w:val="00732C8F"/>
    <w:rsid w:val="007332CB"/>
    <w:rsid w:val="007340FD"/>
    <w:rsid w:val="007346B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BEB"/>
    <w:rsid w:val="00742E11"/>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78D"/>
    <w:rsid w:val="00753A36"/>
    <w:rsid w:val="00754141"/>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063"/>
    <w:rsid w:val="00764619"/>
    <w:rsid w:val="00765882"/>
    <w:rsid w:val="00765F95"/>
    <w:rsid w:val="00766218"/>
    <w:rsid w:val="00766C55"/>
    <w:rsid w:val="00767431"/>
    <w:rsid w:val="00767A92"/>
    <w:rsid w:val="007701C3"/>
    <w:rsid w:val="007707A1"/>
    <w:rsid w:val="00770F0D"/>
    <w:rsid w:val="0077198C"/>
    <w:rsid w:val="00771CD5"/>
    <w:rsid w:val="007728E0"/>
    <w:rsid w:val="0077297C"/>
    <w:rsid w:val="00772DA1"/>
    <w:rsid w:val="00773568"/>
    <w:rsid w:val="00774086"/>
    <w:rsid w:val="007742E6"/>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F9"/>
    <w:rsid w:val="00782570"/>
    <w:rsid w:val="00783259"/>
    <w:rsid w:val="00783D0B"/>
    <w:rsid w:val="00784476"/>
    <w:rsid w:val="0078458D"/>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B0A45"/>
    <w:rsid w:val="007B0E6A"/>
    <w:rsid w:val="007B110A"/>
    <w:rsid w:val="007B3699"/>
    <w:rsid w:val="007B3929"/>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ADC"/>
    <w:rsid w:val="007C6B77"/>
    <w:rsid w:val="007C6E2B"/>
    <w:rsid w:val="007C7697"/>
    <w:rsid w:val="007C76FE"/>
    <w:rsid w:val="007D00B3"/>
    <w:rsid w:val="007D01F3"/>
    <w:rsid w:val="007D04C1"/>
    <w:rsid w:val="007D0AD8"/>
    <w:rsid w:val="007D2832"/>
    <w:rsid w:val="007D3193"/>
    <w:rsid w:val="007D3552"/>
    <w:rsid w:val="007D3BC8"/>
    <w:rsid w:val="007D49FC"/>
    <w:rsid w:val="007D59B7"/>
    <w:rsid w:val="007D651C"/>
    <w:rsid w:val="007D6999"/>
    <w:rsid w:val="007D7639"/>
    <w:rsid w:val="007D7B9E"/>
    <w:rsid w:val="007E04FD"/>
    <w:rsid w:val="007E17EB"/>
    <w:rsid w:val="007E1AF0"/>
    <w:rsid w:val="007E1C4E"/>
    <w:rsid w:val="007E2214"/>
    <w:rsid w:val="007E254B"/>
    <w:rsid w:val="007E2F9F"/>
    <w:rsid w:val="007E316F"/>
    <w:rsid w:val="007E427E"/>
    <w:rsid w:val="007E47E6"/>
    <w:rsid w:val="007E6A6D"/>
    <w:rsid w:val="007E72E5"/>
    <w:rsid w:val="007E7F27"/>
    <w:rsid w:val="007F001B"/>
    <w:rsid w:val="007F07BD"/>
    <w:rsid w:val="007F0990"/>
    <w:rsid w:val="007F126D"/>
    <w:rsid w:val="007F1313"/>
    <w:rsid w:val="007F2020"/>
    <w:rsid w:val="007F2BA3"/>
    <w:rsid w:val="007F3269"/>
    <w:rsid w:val="007F3C7B"/>
    <w:rsid w:val="007F3DDF"/>
    <w:rsid w:val="007F63EB"/>
    <w:rsid w:val="007F668C"/>
    <w:rsid w:val="007F69A6"/>
    <w:rsid w:val="007F76EE"/>
    <w:rsid w:val="007F7995"/>
    <w:rsid w:val="007F7B8A"/>
    <w:rsid w:val="008008DB"/>
    <w:rsid w:val="00801FCB"/>
    <w:rsid w:val="0080261B"/>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FF6"/>
    <w:rsid w:val="00810627"/>
    <w:rsid w:val="008108F5"/>
    <w:rsid w:val="0081094B"/>
    <w:rsid w:val="00811F7E"/>
    <w:rsid w:val="00812CE1"/>
    <w:rsid w:val="008131DB"/>
    <w:rsid w:val="00813372"/>
    <w:rsid w:val="008134F6"/>
    <w:rsid w:val="00813947"/>
    <w:rsid w:val="00813BBD"/>
    <w:rsid w:val="00814464"/>
    <w:rsid w:val="00814513"/>
    <w:rsid w:val="00814CBA"/>
    <w:rsid w:val="00815845"/>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35C"/>
    <w:rsid w:val="0082359B"/>
    <w:rsid w:val="0082364C"/>
    <w:rsid w:val="008245C7"/>
    <w:rsid w:val="00824C88"/>
    <w:rsid w:val="00825819"/>
    <w:rsid w:val="008265D8"/>
    <w:rsid w:val="00826B8C"/>
    <w:rsid w:val="00827302"/>
    <w:rsid w:val="00827750"/>
    <w:rsid w:val="00827C8F"/>
    <w:rsid w:val="00827CCA"/>
    <w:rsid w:val="0083028C"/>
    <w:rsid w:val="00830BCA"/>
    <w:rsid w:val="00830C17"/>
    <w:rsid w:val="0083138C"/>
    <w:rsid w:val="00831A17"/>
    <w:rsid w:val="00831AF7"/>
    <w:rsid w:val="00832772"/>
    <w:rsid w:val="00833246"/>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371"/>
    <w:rsid w:val="00842DBA"/>
    <w:rsid w:val="00843277"/>
    <w:rsid w:val="00844181"/>
    <w:rsid w:val="0084496A"/>
    <w:rsid w:val="00846054"/>
    <w:rsid w:val="008462B5"/>
    <w:rsid w:val="008468B9"/>
    <w:rsid w:val="00846C87"/>
    <w:rsid w:val="0084711E"/>
    <w:rsid w:val="008476B1"/>
    <w:rsid w:val="008500EC"/>
    <w:rsid w:val="00850262"/>
    <w:rsid w:val="0085054C"/>
    <w:rsid w:val="00850D53"/>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3C99"/>
    <w:rsid w:val="00863E68"/>
    <w:rsid w:val="00864456"/>
    <w:rsid w:val="0086484E"/>
    <w:rsid w:val="00864EFC"/>
    <w:rsid w:val="00865067"/>
    <w:rsid w:val="008659C3"/>
    <w:rsid w:val="00865D43"/>
    <w:rsid w:val="0086797C"/>
    <w:rsid w:val="00867F01"/>
    <w:rsid w:val="008710CC"/>
    <w:rsid w:val="008715B4"/>
    <w:rsid w:val="0087191D"/>
    <w:rsid w:val="008719D5"/>
    <w:rsid w:val="00872878"/>
    <w:rsid w:val="00872D75"/>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36"/>
    <w:rsid w:val="008844D3"/>
    <w:rsid w:val="00885230"/>
    <w:rsid w:val="008852FA"/>
    <w:rsid w:val="0088590B"/>
    <w:rsid w:val="008859A0"/>
    <w:rsid w:val="0088735C"/>
    <w:rsid w:val="00887383"/>
    <w:rsid w:val="00887849"/>
    <w:rsid w:val="00890237"/>
    <w:rsid w:val="00892307"/>
    <w:rsid w:val="00892465"/>
    <w:rsid w:val="00892F83"/>
    <w:rsid w:val="008941A1"/>
    <w:rsid w:val="008943CC"/>
    <w:rsid w:val="00894E3A"/>
    <w:rsid w:val="008958BF"/>
    <w:rsid w:val="008959AC"/>
    <w:rsid w:val="00895F19"/>
    <w:rsid w:val="00896149"/>
    <w:rsid w:val="00896AC0"/>
    <w:rsid w:val="008973A2"/>
    <w:rsid w:val="008A003F"/>
    <w:rsid w:val="008A065E"/>
    <w:rsid w:val="008A126A"/>
    <w:rsid w:val="008A2102"/>
    <w:rsid w:val="008A298C"/>
    <w:rsid w:val="008A37E1"/>
    <w:rsid w:val="008A38A6"/>
    <w:rsid w:val="008A41BB"/>
    <w:rsid w:val="008A4452"/>
    <w:rsid w:val="008A4D8E"/>
    <w:rsid w:val="008A501C"/>
    <w:rsid w:val="008A545F"/>
    <w:rsid w:val="008A5A15"/>
    <w:rsid w:val="008A5ED6"/>
    <w:rsid w:val="008A7145"/>
    <w:rsid w:val="008A7253"/>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F8B"/>
    <w:rsid w:val="008B6031"/>
    <w:rsid w:val="008B62B0"/>
    <w:rsid w:val="008B70D7"/>
    <w:rsid w:val="008B7B3F"/>
    <w:rsid w:val="008C0CD1"/>
    <w:rsid w:val="008C12C4"/>
    <w:rsid w:val="008C2603"/>
    <w:rsid w:val="008C278A"/>
    <w:rsid w:val="008C27A2"/>
    <w:rsid w:val="008C2974"/>
    <w:rsid w:val="008C3238"/>
    <w:rsid w:val="008C348C"/>
    <w:rsid w:val="008C3742"/>
    <w:rsid w:val="008C3A92"/>
    <w:rsid w:val="008C43FC"/>
    <w:rsid w:val="008C4EE2"/>
    <w:rsid w:val="008C509B"/>
    <w:rsid w:val="008C5A79"/>
    <w:rsid w:val="008C5DF2"/>
    <w:rsid w:val="008C646D"/>
    <w:rsid w:val="008C6A74"/>
    <w:rsid w:val="008C6AC9"/>
    <w:rsid w:val="008C6B08"/>
    <w:rsid w:val="008C6D8C"/>
    <w:rsid w:val="008C6F5E"/>
    <w:rsid w:val="008C7D26"/>
    <w:rsid w:val="008C7EB5"/>
    <w:rsid w:val="008D015F"/>
    <w:rsid w:val="008D03B3"/>
    <w:rsid w:val="008D0C3E"/>
    <w:rsid w:val="008D0EEC"/>
    <w:rsid w:val="008D17C6"/>
    <w:rsid w:val="008D1CEE"/>
    <w:rsid w:val="008D28D7"/>
    <w:rsid w:val="008D2AA3"/>
    <w:rsid w:val="008D2D07"/>
    <w:rsid w:val="008D47AD"/>
    <w:rsid w:val="008D5503"/>
    <w:rsid w:val="008D5AE7"/>
    <w:rsid w:val="008D5C62"/>
    <w:rsid w:val="008D5DBF"/>
    <w:rsid w:val="008D7CDC"/>
    <w:rsid w:val="008D7CF1"/>
    <w:rsid w:val="008E08C6"/>
    <w:rsid w:val="008E10E9"/>
    <w:rsid w:val="008E14BA"/>
    <w:rsid w:val="008E2633"/>
    <w:rsid w:val="008E270F"/>
    <w:rsid w:val="008E2EF8"/>
    <w:rsid w:val="008E3A6F"/>
    <w:rsid w:val="008E3B5B"/>
    <w:rsid w:val="008E4D25"/>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5FA"/>
    <w:rsid w:val="008F0940"/>
    <w:rsid w:val="008F0CFB"/>
    <w:rsid w:val="008F2197"/>
    <w:rsid w:val="008F2EEB"/>
    <w:rsid w:val="008F319A"/>
    <w:rsid w:val="008F3B68"/>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90020C"/>
    <w:rsid w:val="009004CF"/>
    <w:rsid w:val="00900534"/>
    <w:rsid w:val="00900560"/>
    <w:rsid w:val="00901201"/>
    <w:rsid w:val="009015BF"/>
    <w:rsid w:val="00901F5E"/>
    <w:rsid w:val="009027AC"/>
    <w:rsid w:val="00902ACF"/>
    <w:rsid w:val="00902F1E"/>
    <w:rsid w:val="009038CE"/>
    <w:rsid w:val="00904AFF"/>
    <w:rsid w:val="00904C37"/>
    <w:rsid w:val="00904D5D"/>
    <w:rsid w:val="00904E7E"/>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51C9"/>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E72"/>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B8B"/>
    <w:rsid w:val="00933251"/>
    <w:rsid w:val="00934065"/>
    <w:rsid w:val="00934441"/>
    <w:rsid w:val="00936422"/>
    <w:rsid w:val="009369CE"/>
    <w:rsid w:val="0093785E"/>
    <w:rsid w:val="00937DE9"/>
    <w:rsid w:val="0094021C"/>
    <w:rsid w:val="00940597"/>
    <w:rsid w:val="00941296"/>
    <w:rsid w:val="0094202B"/>
    <w:rsid w:val="0094268C"/>
    <w:rsid w:val="00942E53"/>
    <w:rsid w:val="00943930"/>
    <w:rsid w:val="009441A9"/>
    <w:rsid w:val="00944829"/>
    <w:rsid w:val="00944D37"/>
    <w:rsid w:val="00944FC5"/>
    <w:rsid w:val="00944FF9"/>
    <w:rsid w:val="00945106"/>
    <w:rsid w:val="00945180"/>
    <w:rsid w:val="00945498"/>
    <w:rsid w:val="009454E1"/>
    <w:rsid w:val="00946630"/>
    <w:rsid w:val="0094668E"/>
    <w:rsid w:val="00947BE3"/>
    <w:rsid w:val="00947EBD"/>
    <w:rsid w:val="00950321"/>
    <w:rsid w:val="0095070C"/>
    <w:rsid w:val="0095095E"/>
    <w:rsid w:val="00950C81"/>
    <w:rsid w:val="00951DCD"/>
    <w:rsid w:val="00951EFB"/>
    <w:rsid w:val="00952EC2"/>
    <w:rsid w:val="00952EF0"/>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05"/>
    <w:rsid w:val="00962386"/>
    <w:rsid w:val="009623E0"/>
    <w:rsid w:val="00962CE5"/>
    <w:rsid w:val="00962DD0"/>
    <w:rsid w:val="00963241"/>
    <w:rsid w:val="009638AE"/>
    <w:rsid w:val="00963D9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A95"/>
    <w:rsid w:val="00974C30"/>
    <w:rsid w:val="00974DAB"/>
    <w:rsid w:val="0097515F"/>
    <w:rsid w:val="009751BC"/>
    <w:rsid w:val="0097535E"/>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437C"/>
    <w:rsid w:val="009848A0"/>
    <w:rsid w:val="009848BC"/>
    <w:rsid w:val="0098655F"/>
    <w:rsid w:val="00986795"/>
    <w:rsid w:val="0098725C"/>
    <w:rsid w:val="00987470"/>
    <w:rsid w:val="009877EB"/>
    <w:rsid w:val="00987B83"/>
    <w:rsid w:val="00987EF1"/>
    <w:rsid w:val="00990619"/>
    <w:rsid w:val="0099110F"/>
    <w:rsid w:val="009912E5"/>
    <w:rsid w:val="009918A1"/>
    <w:rsid w:val="00991FE8"/>
    <w:rsid w:val="009923E7"/>
    <w:rsid w:val="009931FA"/>
    <w:rsid w:val="0099325C"/>
    <w:rsid w:val="00993F1D"/>
    <w:rsid w:val="00996904"/>
    <w:rsid w:val="00996E90"/>
    <w:rsid w:val="00997785"/>
    <w:rsid w:val="009A0245"/>
    <w:rsid w:val="009A09F5"/>
    <w:rsid w:val="009A0A1D"/>
    <w:rsid w:val="009A0B6D"/>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C75"/>
    <w:rsid w:val="009B0F48"/>
    <w:rsid w:val="009B140C"/>
    <w:rsid w:val="009B1464"/>
    <w:rsid w:val="009B214F"/>
    <w:rsid w:val="009B29B7"/>
    <w:rsid w:val="009B4173"/>
    <w:rsid w:val="009B42CA"/>
    <w:rsid w:val="009B44F1"/>
    <w:rsid w:val="009B44FD"/>
    <w:rsid w:val="009B45EE"/>
    <w:rsid w:val="009B5116"/>
    <w:rsid w:val="009B5236"/>
    <w:rsid w:val="009B6106"/>
    <w:rsid w:val="009B63E9"/>
    <w:rsid w:val="009B66A1"/>
    <w:rsid w:val="009B6F61"/>
    <w:rsid w:val="009C1FEF"/>
    <w:rsid w:val="009C2279"/>
    <w:rsid w:val="009C2797"/>
    <w:rsid w:val="009C2854"/>
    <w:rsid w:val="009C3B90"/>
    <w:rsid w:val="009C3DA3"/>
    <w:rsid w:val="009C46D7"/>
    <w:rsid w:val="009C56B6"/>
    <w:rsid w:val="009C56EC"/>
    <w:rsid w:val="009C693C"/>
    <w:rsid w:val="009C6A58"/>
    <w:rsid w:val="009C6E6F"/>
    <w:rsid w:val="009D0CE8"/>
    <w:rsid w:val="009D0E30"/>
    <w:rsid w:val="009D14E2"/>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503C"/>
    <w:rsid w:val="009E5915"/>
    <w:rsid w:val="009E5B18"/>
    <w:rsid w:val="009E66EC"/>
    <w:rsid w:val="009E6A08"/>
    <w:rsid w:val="009E70F5"/>
    <w:rsid w:val="009E76B4"/>
    <w:rsid w:val="009E7D20"/>
    <w:rsid w:val="009E7F3B"/>
    <w:rsid w:val="009F09B0"/>
    <w:rsid w:val="009F0C55"/>
    <w:rsid w:val="009F0E7B"/>
    <w:rsid w:val="009F123E"/>
    <w:rsid w:val="009F14B5"/>
    <w:rsid w:val="009F14EE"/>
    <w:rsid w:val="009F1D77"/>
    <w:rsid w:val="009F2699"/>
    <w:rsid w:val="009F28E6"/>
    <w:rsid w:val="009F3212"/>
    <w:rsid w:val="009F329C"/>
    <w:rsid w:val="009F3C98"/>
    <w:rsid w:val="009F456B"/>
    <w:rsid w:val="009F4AD0"/>
    <w:rsid w:val="009F5000"/>
    <w:rsid w:val="009F5316"/>
    <w:rsid w:val="009F5585"/>
    <w:rsid w:val="009F5E61"/>
    <w:rsid w:val="009F6444"/>
    <w:rsid w:val="009F6A7B"/>
    <w:rsid w:val="009F6C0C"/>
    <w:rsid w:val="009F6C9C"/>
    <w:rsid w:val="00A00ED3"/>
    <w:rsid w:val="00A01165"/>
    <w:rsid w:val="00A013A2"/>
    <w:rsid w:val="00A01F0C"/>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76B"/>
    <w:rsid w:val="00A324C9"/>
    <w:rsid w:val="00A32817"/>
    <w:rsid w:val="00A3284A"/>
    <w:rsid w:val="00A32B1D"/>
    <w:rsid w:val="00A32D0B"/>
    <w:rsid w:val="00A331F1"/>
    <w:rsid w:val="00A333A7"/>
    <w:rsid w:val="00A34141"/>
    <w:rsid w:val="00A343A6"/>
    <w:rsid w:val="00A34471"/>
    <w:rsid w:val="00A368DE"/>
    <w:rsid w:val="00A369FD"/>
    <w:rsid w:val="00A37155"/>
    <w:rsid w:val="00A372AE"/>
    <w:rsid w:val="00A37B56"/>
    <w:rsid w:val="00A408B8"/>
    <w:rsid w:val="00A40FBE"/>
    <w:rsid w:val="00A411AE"/>
    <w:rsid w:val="00A418A1"/>
    <w:rsid w:val="00A41D18"/>
    <w:rsid w:val="00A42383"/>
    <w:rsid w:val="00A42DED"/>
    <w:rsid w:val="00A433AA"/>
    <w:rsid w:val="00A4413C"/>
    <w:rsid w:val="00A448F6"/>
    <w:rsid w:val="00A44AB1"/>
    <w:rsid w:val="00A44BB8"/>
    <w:rsid w:val="00A44C11"/>
    <w:rsid w:val="00A454D4"/>
    <w:rsid w:val="00A457FD"/>
    <w:rsid w:val="00A45A11"/>
    <w:rsid w:val="00A465BC"/>
    <w:rsid w:val="00A47BFE"/>
    <w:rsid w:val="00A50364"/>
    <w:rsid w:val="00A507F0"/>
    <w:rsid w:val="00A50AD2"/>
    <w:rsid w:val="00A50FED"/>
    <w:rsid w:val="00A51821"/>
    <w:rsid w:val="00A51988"/>
    <w:rsid w:val="00A519A6"/>
    <w:rsid w:val="00A51B3D"/>
    <w:rsid w:val="00A525DA"/>
    <w:rsid w:val="00A52638"/>
    <w:rsid w:val="00A52A9D"/>
    <w:rsid w:val="00A52E85"/>
    <w:rsid w:val="00A53081"/>
    <w:rsid w:val="00A534B8"/>
    <w:rsid w:val="00A55E1C"/>
    <w:rsid w:val="00A5605F"/>
    <w:rsid w:val="00A57127"/>
    <w:rsid w:val="00A57FBF"/>
    <w:rsid w:val="00A6032A"/>
    <w:rsid w:val="00A60CEA"/>
    <w:rsid w:val="00A60E02"/>
    <w:rsid w:val="00A61025"/>
    <w:rsid w:val="00A61593"/>
    <w:rsid w:val="00A618D2"/>
    <w:rsid w:val="00A61B16"/>
    <w:rsid w:val="00A61C25"/>
    <w:rsid w:val="00A62DBA"/>
    <w:rsid w:val="00A62DD3"/>
    <w:rsid w:val="00A6339C"/>
    <w:rsid w:val="00A639A5"/>
    <w:rsid w:val="00A6434F"/>
    <w:rsid w:val="00A65DE9"/>
    <w:rsid w:val="00A660AB"/>
    <w:rsid w:val="00A667C4"/>
    <w:rsid w:val="00A669D1"/>
    <w:rsid w:val="00A66F25"/>
    <w:rsid w:val="00A714C2"/>
    <w:rsid w:val="00A71601"/>
    <w:rsid w:val="00A7171B"/>
    <w:rsid w:val="00A71735"/>
    <w:rsid w:val="00A7281C"/>
    <w:rsid w:val="00A72BCF"/>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8BE"/>
    <w:rsid w:val="00A830B2"/>
    <w:rsid w:val="00A8329D"/>
    <w:rsid w:val="00A832EB"/>
    <w:rsid w:val="00A83542"/>
    <w:rsid w:val="00A83661"/>
    <w:rsid w:val="00A84184"/>
    <w:rsid w:val="00A84EC8"/>
    <w:rsid w:val="00A85B1E"/>
    <w:rsid w:val="00A86033"/>
    <w:rsid w:val="00A861D6"/>
    <w:rsid w:val="00A8681D"/>
    <w:rsid w:val="00A86E86"/>
    <w:rsid w:val="00A8730B"/>
    <w:rsid w:val="00A878C9"/>
    <w:rsid w:val="00A87EBA"/>
    <w:rsid w:val="00A90321"/>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A016F"/>
    <w:rsid w:val="00AA14AB"/>
    <w:rsid w:val="00AA158E"/>
    <w:rsid w:val="00AA2150"/>
    <w:rsid w:val="00AA3EA2"/>
    <w:rsid w:val="00AA40E8"/>
    <w:rsid w:val="00AA4BFE"/>
    <w:rsid w:val="00AA5C3A"/>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6229"/>
    <w:rsid w:val="00AB658C"/>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5CC4"/>
    <w:rsid w:val="00AC5FB2"/>
    <w:rsid w:val="00AC6009"/>
    <w:rsid w:val="00AC69F5"/>
    <w:rsid w:val="00AC7792"/>
    <w:rsid w:val="00AC7F89"/>
    <w:rsid w:val="00AD0416"/>
    <w:rsid w:val="00AD0D58"/>
    <w:rsid w:val="00AD0F02"/>
    <w:rsid w:val="00AD1506"/>
    <w:rsid w:val="00AD15AC"/>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3CC"/>
    <w:rsid w:val="00AF2984"/>
    <w:rsid w:val="00AF2A1B"/>
    <w:rsid w:val="00AF2D8B"/>
    <w:rsid w:val="00AF2F6C"/>
    <w:rsid w:val="00AF423F"/>
    <w:rsid w:val="00AF4804"/>
    <w:rsid w:val="00AF55B0"/>
    <w:rsid w:val="00AF606B"/>
    <w:rsid w:val="00AF6471"/>
    <w:rsid w:val="00AF68E5"/>
    <w:rsid w:val="00AF70AA"/>
    <w:rsid w:val="00AF7816"/>
    <w:rsid w:val="00AF7CB3"/>
    <w:rsid w:val="00B00239"/>
    <w:rsid w:val="00B0060D"/>
    <w:rsid w:val="00B00AD6"/>
    <w:rsid w:val="00B00C2F"/>
    <w:rsid w:val="00B01486"/>
    <w:rsid w:val="00B01DB3"/>
    <w:rsid w:val="00B01F95"/>
    <w:rsid w:val="00B034B9"/>
    <w:rsid w:val="00B036D0"/>
    <w:rsid w:val="00B04091"/>
    <w:rsid w:val="00B0413C"/>
    <w:rsid w:val="00B044A4"/>
    <w:rsid w:val="00B04693"/>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A94"/>
    <w:rsid w:val="00B15DA0"/>
    <w:rsid w:val="00B16C1C"/>
    <w:rsid w:val="00B16EA7"/>
    <w:rsid w:val="00B1792A"/>
    <w:rsid w:val="00B17E5F"/>
    <w:rsid w:val="00B20292"/>
    <w:rsid w:val="00B20377"/>
    <w:rsid w:val="00B20506"/>
    <w:rsid w:val="00B2065C"/>
    <w:rsid w:val="00B213E4"/>
    <w:rsid w:val="00B214A5"/>
    <w:rsid w:val="00B214EB"/>
    <w:rsid w:val="00B216B3"/>
    <w:rsid w:val="00B21F79"/>
    <w:rsid w:val="00B22177"/>
    <w:rsid w:val="00B22235"/>
    <w:rsid w:val="00B2267A"/>
    <w:rsid w:val="00B22F8C"/>
    <w:rsid w:val="00B234CE"/>
    <w:rsid w:val="00B23925"/>
    <w:rsid w:val="00B2432B"/>
    <w:rsid w:val="00B24B56"/>
    <w:rsid w:val="00B252C5"/>
    <w:rsid w:val="00B25653"/>
    <w:rsid w:val="00B25D5A"/>
    <w:rsid w:val="00B261CA"/>
    <w:rsid w:val="00B263A5"/>
    <w:rsid w:val="00B2669B"/>
    <w:rsid w:val="00B26F16"/>
    <w:rsid w:val="00B271FC"/>
    <w:rsid w:val="00B279A0"/>
    <w:rsid w:val="00B27A8A"/>
    <w:rsid w:val="00B302BD"/>
    <w:rsid w:val="00B30329"/>
    <w:rsid w:val="00B30474"/>
    <w:rsid w:val="00B305D3"/>
    <w:rsid w:val="00B3062E"/>
    <w:rsid w:val="00B31182"/>
    <w:rsid w:val="00B31607"/>
    <w:rsid w:val="00B3165D"/>
    <w:rsid w:val="00B31D76"/>
    <w:rsid w:val="00B31F27"/>
    <w:rsid w:val="00B3202D"/>
    <w:rsid w:val="00B321D2"/>
    <w:rsid w:val="00B32A97"/>
    <w:rsid w:val="00B33790"/>
    <w:rsid w:val="00B338F5"/>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935"/>
    <w:rsid w:val="00B52F64"/>
    <w:rsid w:val="00B53CB2"/>
    <w:rsid w:val="00B54691"/>
    <w:rsid w:val="00B54E78"/>
    <w:rsid w:val="00B56FA7"/>
    <w:rsid w:val="00B572FF"/>
    <w:rsid w:val="00B57338"/>
    <w:rsid w:val="00B57F5E"/>
    <w:rsid w:val="00B60442"/>
    <w:rsid w:val="00B60811"/>
    <w:rsid w:val="00B6107A"/>
    <w:rsid w:val="00B610C2"/>
    <w:rsid w:val="00B6122B"/>
    <w:rsid w:val="00B61333"/>
    <w:rsid w:val="00B61974"/>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41ED"/>
    <w:rsid w:val="00B746E5"/>
    <w:rsid w:val="00B749B3"/>
    <w:rsid w:val="00B74D0E"/>
    <w:rsid w:val="00B752FB"/>
    <w:rsid w:val="00B756C3"/>
    <w:rsid w:val="00B76100"/>
    <w:rsid w:val="00B7635A"/>
    <w:rsid w:val="00B764F2"/>
    <w:rsid w:val="00B76655"/>
    <w:rsid w:val="00B779D7"/>
    <w:rsid w:val="00B77E57"/>
    <w:rsid w:val="00B80598"/>
    <w:rsid w:val="00B80B5F"/>
    <w:rsid w:val="00B80D8D"/>
    <w:rsid w:val="00B810B0"/>
    <w:rsid w:val="00B81220"/>
    <w:rsid w:val="00B822C0"/>
    <w:rsid w:val="00B84EDE"/>
    <w:rsid w:val="00B8543A"/>
    <w:rsid w:val="00B85585"/>
    <w:rsid w:val="00B85F49"/>
    <w:rsid w:val="00B86139"/>
    <w:rsid w:val="00B863D2"/>
    <w:rsid w:val="00B869E7"/>
    <w:rsid w:val="00B86C05"/>
    <w:rsid w:val="00B877A3"/>
    <w:rsid w:val="00B87CB1"/>
    <w:rsid w:val="00B90227"/>
    <w:rsid w:val="00B90F83"/>
    <w:rsid w:val="00B912A1"/>
    <w:rsid w:val="00B91654"/>
    <w:rsid w:val="00B91CE2"/>
    <w:rsid w:val="00B920B6"/>
    <w:rsid w:val="00B925D6"/>
    <w:rsid w:val="00B934A8"/>
    <w:rsid w:val="00B93FB9"/>
    <w:rsid w:val="00B9481B"/>
    <w:rsid w:val="00B94832"/>
    <w:rsid w:val="00B9488F"/>
    <w:rsid w:val="00B9551C"/>
    <w:rsid w:val="00B95A1C"/>
    <w:rsid w:val="00B96193"/>
    <w:rsid w:val="00B96BF4"/>
    <w:rsid w:val="00B96E8C"/>
    <w:rsid w:val="00B96F55"/>
    <w:rsid w:val="00B97D14"/>
    <w:rsid w:val="00BA00ED"/>
    <w:rsid w:val="00BA0978"/>
    <w:rsid w:val="00BA1539"/>
    <w:rsid w:val="00BA1972"/>
    <w:rsid w:val="00BA2024"/>
    <w:rsid w:val="00BA2166"/>
    <w:rsid w:val="00BA21B9"/>
    <w:rsid w:val="00BA2456"/>
    <w:rsid w:val="00BA27E3"/>
    <w:rsid w:val="00BA3147"/>
    <w:rsid w:val="00BA3F5E"/>
    <w:rsid w:val="00BA3F92"/>
    <w:rsid w:val="00BA485A"/>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4548"/>
    <w:rsid w:val="00BB4844"/>
    <w:rsid w:val="00BB4BA3"/>
    <w:rsid w:val="00BB4BEC"/>
    <w:rsid w:val="00BB5FE9"/>
    <w:rsid w:val="00BB6488"/>
    <w:rsid w:val="00BB6887"/>
    <w:rsid w:val="00BB68EE"/>
    <w:rsid w:val="00BB7080"/>
    <w:rsid w:val="00BB78EB"/>
    <w:rsid w:val="00BC085F"/>
    <w:rsid w:val="00BC0E99"/>
    <w:rsid w:val="00BC11B4"/>
    <w:rsid w:val="00BC2158"/>
    <w:rsid w:val="00BC36CE"/>
    <w:rsid w:val="00BC3E96"/>
    <w:rsid w:val="00BC401A"/>
    <w:rsid w:val="00BC4916"/>
    <w:rsid w:val="00BC5736"/>
    <w:rsid w:val="00BC5B77"/>
    <w:rsid w:val="00BC5E36"/>
    <w:rsid w:val="00BC61FB"/>
    <w:rsid w:val="00BC6DCE"/>
    <w:rsid w:val="00BC6FD6"/>
    <w:rsid w:val="00BC7A70"/>
    <w:rsid w:val="00BD200F"/>
    <w:rsid w:val="00BD2D81"/>
    <w:rsid w:val="00BD34BB"/>
    <w:rsid w:val="00BD3F17"/>
    <w:rsid w:val="00BD43FC"/>
    <w:rsid w:val="00BD48B7"/>
    <w:rsid w:val="00BD49D9"/>
    <w:rsid w:val="00BD4C83"/>
    <w:rsid w:val="00BD4F8C"/>
    <w:rsid w:val="00BD5387"/>
    <w:rsid w:val="00BD554F"/>
    <w:rsid w:val="00BD5952"/>
    <w:rsid w:val="00BD5E6F"/>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22D"/>
    <w:rsid w:val="00BE433C"/>
    <w:rsid w:val="00BE43A8"/>
    <w:rsid w:val="00BE4672"/>
    <w:rsid w:val="00BE4ECA"/>
    <w:rsid w:val="00BE4F9E"/>
    <w:rsid w:val="00BE6DE6"/>
    <w:rsid w:val="00BE76FE"/>
    <w:rsid w:val="00BE7784"/>
    <w:rsid w:val="00BE7B82"/>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54E"/>
    <w:rsid w:val="00BF4888"/>
    <w:rsid w:val="00BF54BA"/>
    <w:rsid w:val="00BF60D9"/>
    <w:rsid w:val="00BF6488"/>
    <w:rsid w:val="00BF64D6"/>
    <w:rsid w:val="00BF7713"/>
    <w:rsid w:val="00C00524"/>
    <w:rsid w:val="00C01035"/>
    <w:rsid w:val="00C0166C"/>
    <w:rsid w:val="00C01B5C"/>
    <w:rsid w:val="00C02064"/>
    <w:rsid w:val="00C022AA"/>
    <w:rsid w:val="00C02454"/>
    <w:rsid w:val="00C03DAE"/>
    <w:rsid w:val="00C040FA"/>
    <w:rsid w:val="00C04AFA"/>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315E"/>
    <w:rsid w:val="00C149A2"/>
    <w:rsid w:val="00C15000"/>
    <w:rsid w:val="00C15639"/>
    <w:rsid w:val="00C15F48"/>
    <w:rsid w:val="00C16235"/>
    <w:rsid w:val="00C165C1"/>
    <w:rsid w:val="00C16665"/>
    <w:rsid w:val="00C16DEF"/>
    <w:rsid w:val="00C20A5B"/>
    <w:rsid w:val="00C21468"/>
    <w:rsid w:val="00C21757"/>
    <w:rsid w:val="00C21B32"/>
    <w:rsid w:val="00C21F29"/>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6638"/>
    <w:rsid w:val="00C277B4"/>
    <w:rsid w:val="00C27EEC"/>
    <w:rsid w:val="00C3044A"/>
    <w:rsid w:val="00C30943"/>
    <w:rsid w:val="00C31E75"/>
    <w:rsid w:val="00C32035"/>
    <w:rsid w:val="00C32528"/>
    <w:rsid w:val="00C32D8B"/>
    <w:rsid w:val="00C32FCF"/>
    <w:rsid w:val="00C34379"/>
    <w:rsid w:val="00C34405"/>
    <w:rsid w:val="00C346D8"/>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4D81"/>
    <w:rsid w:val="00C4535E"/>
    <w:rsid w:val="00C456D8"/>
    <w:rsid w:val="00C46662"/>
    <w:rsid w:val="00C46996"/>
    <w:rsid w:val="00C476BF"/>
    <w:rsid w:val="00C47747"/>
    <w:rsid w:val="00C477E3"/>
    <w:rsid w:val="00C47806"/>
    <w:rsid w:val="00C47A75"/>
    <w:rsid w:val="00C47B11"/>
    <w:rsid w:val="00C50A26"/>
    <w:rsid w:val="00C510DE"/>
    <w:rsid w:val="00C512CC"/>
    <w:rsid w:val="00C515B2"/>
    <w:rsid w:val="00C516C9"/>
    <w:rsid w:val="00C52191"/>
    <w:rsid w:val="00C53D4D"/>
    <w:rsid w:val="00C543DB"/>
    <w:rsid w:val="00C54694"/>
    <w:rsid w:val="00C54C57"/>
    <w:rsid w:val="00C54FF2"/>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75D"/>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A70"/>
    <w:rsid w:val="00C74D12"/>
    <w:rsid w:val="00C74E9F"/>
    <w:rsid w:val="00C74F4D"/>
    <w:rsid w:val="00C75198"/>
    <w:rsid w:val="00C75375"/>
    <w:rsid w:val="00C758C0"/>
    <w:rsid w:val="00C7611E"/>
    <w:rsid w:val="00C76969"/>
    <w:rsid w:val="00C76B45"/>
    <w:rsid w:val="00C77792"/>
    <w:rsid w:val="00C77A2F"/>
    <w:rsid w:val="00C77A8D"/>
    <w:rsid w:val="00C815FA"/>
    <w:rsid w:val="00C81ACB"/>
    <w:rsid w:val="00C825CA"/>
    <w:rsid w:val="00C8291D"/>
    <w:rsid w:val="00C83068"/>
    <w:rsid w:val="00C833E2"/>
    <w:rsid w:val="00C84F60"/>
    <w:rsid w:val="00C852EA"/>
    <w:rsid w:val="00C857B1"/>
    <w:rsid w:val="00C858A1"/>
    <w:rsid w:val="00C858F5"/>
    <w:rsid w:val="00C85A5C"/>
    <w:rsid w:val="00C85E30"/>
    <w:rsid w:val="00C86429"/>
    <w:rsid w:val="00C86686"/>
    <w:rsid w:val="00C86BB6"/>
    <w:rsid w:val="00C870B3"/>
    <w:rsid w:val="00C87356"/>
    <w:rsid w:val="00C914D1"/>
    <w:rsid w:val="00C91D45"/>
    <w:rsid w:val="00C93572"/>
    <w:rsid w:val="00C93737"/>
    <w:rsid w:val="00C937A9"/>
    <w:rsid w:val="00C93E75"/>
    <w:rsid w:val="00C94B2A"/>
    <w:rsid w:val="00C951DE"/>
    <w:rsid w:val="00C958EC"/>
    <w:rsid w:val="00C95A04"/>
    <w:rsid w:val="00C95A6D"/>
    <w:rsid w:val="00C95B63"/>
    <w:rsid w:val="00C95DE0"/>
    <w:rsid w:val="00C95E65"/>
    <w:rsid w:val="00C96BB6"/>
    <w:rsid w:val="00C96C85"/>
    <w:rsid w:val="00C97002"/>
    <w:rsid w:val="00C97F64"/>
    <w:rsid w:val="00CA00FE"/>
    <w:rsid w:val="00CA05C9"/>
    <w:rsid w:val="00CA06AB"/>
    <w:rsid w:val="00CA08B2"/>
    <w:rsid w:val="00CA1038"/>
    <w:rsid w:val="00CA1139"/>
    <w:rsid w:val="00CA140D"/>
    <w:rsid w:val="00CA1FF7"/>
    <w:rsid w:val="00CA25C0"/>
    <w:rsid w:val="00CA28F6"/>
    <w:rsid w:val="00CA2FF3"/>
    <w:rsid w:val="00CA3DD8"/>
    <w:rsid w:val="00CA51A8"/>
    <w:rsid w:val="00CA555F"/>
    <w:rsid w:val="00CA6096"/>
    <w:rsid w:val="00CA6C56"/>
    <w:rsid w:val="00CA6DDC"/>
    <w:rsid w:val="00CA7907"/>
    <w:rsid w:val="00CA7F4E"/>
    <w:rsid w:val="00CB0985"/>
    <w:rsid w:val="00CB0E51"/>
    <w:rsid w:val="00CB0EBC"/>
    <w:rsid w:val="00CB0F23"/>
    <w:rsid w:val="00CB1A08"/>
    <w:rsid w:val="00CB2BB7"/>
    <w:rsid w:val="00CB3615"/>
    <w:rsid w:val="00CB3FE2"/>
    <w:rsid w:val="00CB4000"/>
    <w:rsid w:val="00CB4609"/>
    <w:rsid w:val="00CB4722"/>
    <w:rsid w:val="00CB4B2A"/>
    <w:rsid w:val="00CB58CD"/>
    <w:rsid w:val="00CB5E1B"/>
    <w:rsid w:val="00CB63B4"/>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3FE0"/>
    <w:rsid w:val="00CD4945"/>
    <w:rsid w:val="00CD5235"/>
    <w:rsid w:val="00CD5378"/>
    <w:rsid w:val="00CD593F"/>
    <w:rsid w:val="00CD64B0"/>
    <w:rsid w:val="00CE0269"/>
    <w:rsid w:val="00CE06C4"/>
    <w:rsid w:val="00CE0928"/>
    <w:rsid w:val="00CE1909"/>
    <w:rsid w:val="00CE1B72"/>
    <w:rsid w:val="00CE1D3E"/>
    <w:rsid w:val="00CE1EB8"/>
    <w:rsid w:val="00CE249B"/>
    <w:rsid w:val="00CE2764"/>
    <w:rsid w:val="00CE331E"/>
    <w:rsid w:val="00CE3A31"/>
    <w:rsid w:val="00CE4C50"/>
    <w:rsid w:val="00CE554F"/>
    <w:rsid w:val="00CE649D"/>
    <w:rsid w:val="00CE6597"/>
    <w:rsid w:val="00CE6966"/>
    <w:rsid w:val="00CE69C0"/>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FDE"/>
    <w:rsid w:val="00CF7BD6"/>
    <w:rsid w:val="00CF7FDC"/>
    <w:rsid w:val="00D00111"/>
    <w:rsid w:val="00D00511"/>
    <w:rsid w:val="00D00F0B"/>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7D90"/>
    <w:rsid w:val="00D1012E"/>
    <w:rsid w:val="00D10467"/>
    <w:rsid w:val="00D106DA"/>
    <w:rsid w:val="00D10CDE"/>
    <w:rsid w:val="00D10E49"/>
    <w:rsid w:val="00D117A5"/>
    <w:rsid w:val="00D1193B"/>
    <w:rsid w:val="00D1272D"/>
    <w:rsid w:val="00D134CF"/>
    <w:rsid w:val="00D1391B"/>
    <w:rsid w:val="00D14325"/>
    <w:rsid w:val="00D14FC4"/>
    <w:rsid w:val="00D15418"/>
    <w:rsid w:val="00D155C3"/>
    <w:rsid w:val="00D15918"/>
    <w:rsid w:val="00D1595A"/>
    <w:rsid w:val="00D15B4A"/>
    <w:rsid w:val="00D1620C"/>
    <w:rsid w:val="00D16692"/>
    <w:rsid w:val="00D16BA0"/>
    <w:rsid w:val="00D17046"/>
    <w:rsid w:val="00D173CC"/>
    <w:rsid w:val="00D17625"/>
    <w:rsid w:val="00D20AF3"/>
    <w:rsid w:val="00D20EE1"/>
    <w:rsid w:val="00D21425"/>
    <w:rsid w:val="00D2178F"/>
    <w:rsid w:val="00D218F0"/>
    <w:rsid w:val="00D21F32"/>
    <w:rsid w:val="00D22641"/>
    <w:rsid w:val="00D22A5E"/>
    <w:rsid w:val="00D242BA"/>
    <w:rsid w:val="00D24836"/>
    <w:rsid w:val="00D250F0"/>
    <w:rsid w:val="00D25663"/>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28A6"/>
    <w:rsid w:val="00D4313F"/>
    <w:rsid w:val="00D43394"/>
    <w:rsid w:val="00D437CA"/>
    <w:rsid w:val="00D4393D"/>
    <w:rsid w:val="00D43DDF"/>
    <w:rsid w:val="00D44337"/>
    <w:rsid w:val="00D44CA2"/>
    <w:rsid w:val="00D4510C"/>
    <w:rsid w:val="00D4652D"/>
    <w:rsid w:val="00D46553"/>
    <w:rsid w:val="00D4660C"/>
    <w:rsid w:val="00D468E6"/>
    <w:rsid w:val="00D4700C"/>
    <w:rsid w:val="00D4706E"/>
    <w:rsid w:val="00D471A9"/>
    <w:rsid w:val="00D471FD"/>
    <w:rsid w:val="00D47690"/>
    <w:rsid w:val="00D5017F"/>
    <w:rsid w:val="00D5020E"/>
    <w:rsid w:val="00D50747"/>
    <w:rsid w:val="00D5075A"/>
    <w:rsid w:val="00D507C6"/>
    <w:rsid w:val="00D50887"/>
    <w:rsid w:val="00D51F17"/>
    <w:rsid w:val="00D52112"/>
    <w:rsid w:val="00D52A27"/>
    <w:rsid w:val="00D5366F"/>
    <w:rsid w:val="00D54988"/>
    <w:rsid w:val="00D54CCB"/>
    <w:rsid w:val="00D54F9B"/>
    <w:rsid w:val="00D552E2"/>
    <w:rsid w:val="00D565F4"/>
    <w:rsid w:val="00D575BA"/>
    <w:rsid w:val="00D57972"/>
    <w:rsid w:val="00D603FA"/>
    <w:rsid w:val="00D60562"/>
    <w:rsid w:val="00D60E6A"/>
    <w:rsid w:val="00D61AD8"/>
    <w:rsid w:val="00D61C63"/>
    <w:rsid w:val="00D62466"/>
    <w:rsid w:val="00D63953"/>
    <w:rsid w:val="00D63BF7"/>
    <w:rsid w:val="00D63C7A"/>
    <w:rsid w:val="00D63D6A"/>
    <w:rsid w:val="00D645AE"/>
    <w:rsid w:val="00D64A00"/>
    <w:rsid w:val="00D654B9"/>
    <w:rsid w:val="00D654CB"/>
    <w:rsid w:val="00D65C3A"/>
    <w:rsid w:val="00D66402"/>
    <w:rsid w:val="00D66783"/>
    <w:rsid w:val="00D66E81"/>
    <w:rsid w:val="00D67213"/>
    <w:rsid w:val="00D673D0"/>
    <w:rsid w:val="00D6763F"/>
    <w:rsid w:val="00D679AE"/>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F3D"/>
    <w:rsid w:val="00D9537A"/>
    <w:rsid w:val="00D95868"/>
    <w:rsid w:val="00D95908"/>
    <w:rsid w:val="00D95DCE"/>
    <w:rsid w:val="00D96052"/>
    <w:rsid w:val="00D96B8F"/>
    <w:rsid w:val="00D96BBE"/>
    <w:rsid w:val="00D971DE"/>
    <w:rsid w:val="00D972DF"/>
    <w:rsid w:val="00D97F3E"/>
    <w:rsid w:val="00DA1044"/>
    <w:rsid w:val="00DA1644"/>
    <w:rsid w:val="00DA1C0F"/>
    <w:rsid w:val="00DA1C24"/>
    <w:rsid w:val="00DA20E7"/>
    <w:rsid w:val="00DA2261"/>
    <w:rsid w:val="00DA25D8"/>
    <w:rsid w:val="00DA2A8D"/>
    <w:rsid w:val="00DA2CD2"/>
    <w:rsid w:val="00DA2E23"/>
    <w:rsid w:val="00DA3553"/>
    <w:rsid w:val="00DA39C1"/>
    <w:rsid w:val="00DA3B01"/>
    <w:rsid w:val="00DA414B"/>
    <w:rsid w:val="00DA4DFB"/>
    <w:rsid w:val="00DA4FF4"/>
    <w:rsid w:val="00DA5DC9"/>
    <w:rsid w:val="00DA5E7E"/>
    <w:rsid w:val="00DA5FCC"/>
    <w:rsid w:val="00DA6063"/>
    <w:rsid w:val="00DA6553"/>
    <w:rsid w:val="00DA6648"/>
    <w:rsid w:val="00DA6F06"/>
    <w:rsid w:val="00DB04D9"/>
    <w:rsid w:val="00DB05BF"/>
    <w:rsid w:val="00DB1760"/>
    <w:rsid w:val="00DB190D"/>
    <w:rsid w:val="00DB1DFA"/>
    <w:rsid w:val="00DB2AF4"/>
    <w:rsid w:val="00DB2B51"/>
    <w:rsid w:val="00DB34C7"/>
    <w:rsid w:val="00DB35B6"/>
    <w:rsid w:val="00DB35C6"/>
    <w:rsid w:val="00DB36EB"/>
    <w:rsid w:val="00DB3997"/>
    <w:rsid w:val="00DB3E01"/>
    <w:rsid w:val="00DB418C"/>
    <w:rsid w:val="00DB47F6"/>
    <w:rsid w:val="00DB4E1B"/>
    <w:rsid w:val="00DB5039"/>
    <w:rsid w:val="00DB62CC"/>
    <w:rsid w:val="00DB630D"/>
    <w:rsid w:val="00DB6344"/>
    <w:rsid w:val="00DB665F"/>
    <w:rsid w:val="00DB72B8"/>
    <w:rsid w:val="00DB7309"/>
    <w:rsid w:val="00DC01E5"/>
    <w:rsid w:val="00DC0400"/>
    <w:rsid w:val="00DC07D3"/>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D0884"/>
    <w:rsid w:val="00DD18FA"/>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7DA"/>
    <w:rsid w:val="00DE1438"/>
    <w:rsid w:val="00DE295B"/>
    <w:rsid w:val="00DE2A14"/>
    <w:rsid w:val="00DE31C2"/>
    <w:rsid w:val="00DE31E9"/>
    <w:rsid w:val="00DE3B1E"/>
    <w:rsid w:val="00DE4030"/>
    <w:rsid w:val="00DE4CB0"/>
    <w:rsid w:val="00DE4FA7"/>
    <w:rsid w:val="00DE50DE"/>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667B"/>
    <w:rsid w:val="00DF68A6"/>
    <w:rsid w:val="00DF7282"/>
    <w:rsid w:val="00DF7B3F"/>
    <w:rsid w:val="00E00345"/>
    <w:rsid w:val="00E00A4F"/>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934"/>
    <w:rsid w:val="00E22C1C"/>
    <w:rsid w:val="00E22CDD"/>
    <w:rsid w:val="00E2393C"/>
    <w:rsid w:val="00E246C3"/>
    <w:rsid w:val="00E24B06"/>
    <w:rsid w:val="00E2504C"/>
    <w:rsid w:val="00E25104"/>
    <w:rsid w:val="00E25416"/>
    <w:rsid w:val="00E262E2"/>
    <w:rsid w:val="00E26FCF"/>
    <w:rsid w:val="00E27258"/>
    <w:rsid w:val="00E2776F"/>
    <w:rsid w:val="00E30BA2"/>
    <w:rsid w:val="00E3116F"/>
    <w:rsid w:val="00E31C91"/>
    <w:rsid w:val="00E31F4A"/>
    <w:rsid w:val="00E322E4"/>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608A1"/>
    <w:rsid w:val="00E60A57"/>
    <w:rsid w:val="00E613D1"/>
    <w:rsid w:val="00E6141A"/>
    <w:rsid w:val="00E6147F"/>
    <w:rsid w:val="00E62471"/>
    <w:rsid w:val="00E640BA"/>
    <w:rsid w:val="00E6417E"/>
    <w:rsid w:val="00E643A6"/>
    <w:rsid w:val="00E64516"/>
    <w:rsid w:val="00E64B35"/>
    <w:rsid w:val="00E64B93"/>
    <w:rsid w:val="00E64BFD"/>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3903"/>
    <w:rsid w:val="00E74108"/>
    <w:rsid w:val="00E74757"/>
    <w:rsid w:val="00E74C90"/>
    <w:rsid w:val="00E75161"/>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9019A"/>
    <w:rsid w:val="00E904CC"/>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DD5"/>
    <w:rsid w:val="00EA2339"/>
    <w:rsid w:val="00EA2491"/>
    <w:rsid w:val="00EA25A3"/>
    <w:rsid w:val="00EA2BE2"/>
    <w:rsid w:val="00EA2EEB"/>
    <w:rsid w:val="00EA33C4"/>
    <w:rsid w:val="00EA3D9F"/>
    <w:rsid w:val="00EA41A3"/>
    <w:rsid w:val="00EA59CE"/>
    <w:rsid w:val="00EA6031"/>
    <w:rsid w:val="00EA662B"/>
    <w:rsid w:val="00EA6683"/>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FE"/>
    <w:rsid w:val="00EC2C09"/>
    <w:rsid w:val="00EC2F71"/>
    <w:rsid w:val="00EC32CF"/>
    <w:rsid w:val="00EC34DA"/>
    <w:rsid w:val="00EC3573"/>
    <w:rsid w:val="00EC3964"/>
    <w:rsid w:val="00EC39D3"/>
    <w:rsid w:val="00EC3B67"/>
    <w:rsid w:val="00EC3D12"/>
    <w:rsid w:val="00EC4817"/>
    <w:rsid w:val="00EC5599"/>
    <w:rsid w:val="00EC5777"/>
    <w:rsid w:val="00EC5833"/>
    <w:rsid w:val="00EC606D"/>
    <w:rsid w:val="00EC6183"/>
    <w:rsid w:val="00EC62EA"/>
    <w:rsid w:val="00EC63EC"/>
    <w:rsid w:val="00EC6442"/>
    <w:rsid w:val="00EC6905"/>
    <w:rsid w:val="00EC6E0C"/>
    <w:rsid w:val="00EC6E34"/>
    <w:rsid w:val="00EC6EA9"/>
    <w:rsid w:val="00EC77CF"/>
    <w:rsid w:val="00EC7E1E"/>
    <w:rsid w:val="00ED0270"/>
    <w:rsid w:val="00ED088C"/>
    <w:rsid w:val="00ED0C7A"/>
    <w:rsid w:val="00ED12B2"/>
    <w:rsid w:val="00ED1584"/>
    <w:rsid w:val="00ED1D46"/>
    <w:rsid w:val="00ED2175"/>
    <w:rsid w:val="00ED241C"/>
    <w:rsid w:val="00ED26F4"/>
    <w:rsid w:val="00ED3147"/>
    <w:rsid w:val="00ED31F5"/>
    <w:rsid w:val="00ED3AE3"/>
    <w:rsid w:val="00ED40DC"/>
    <w:rsid w:val="00ED44EB"/>
    <w:rsid w:val="00ED4CBB"/>
    <w:rsid w:val="00ED50A7"/>
    <w:rsid w:val="00ED5DFB"/>
    <w:rsid w:val="00ED6083"/>
    <w:rsid w:val="00ED6218"/>
    <w:rsid w:val="00ED71DA"/>
    <w:rsid w:val="00ED7A9E"/>
    <w:rsid w:val="00EE007A"/>
    <w:rsid w:val="00EE0D34"/>
    <w:rsid w:val="00EE12EA"/>
    <w:rsid w:val="00EE19F5"/>
    <w:rsid w:val="00EE1B87"/>
    <w:rsid w:val="00EE1CA0"/>
    <w:rsid w:val="00EE1EC2"/>
    <w:rsid w:val="00EE2220"/>
    <w:rsid w:val="00EE23C0"/>
    <w:rsid w:val="00EE24E4"/>
    <w:rsid w:val="00EE3012"/>
    <w:rsid w:val="00EE4B89"/>
    <w:rsid w:val="00EE554D"/>
    <w:rsid w:val="00EE591B"/>
    <w:rsid w:val="00EE5AB0"/>
    <w:rsid w:val="00EE790B"/>
    <w:rsid w:val="00EF030F"/>
    <w:rsid w:val="00EF04B3"/>
    <w:rsid w:val="00EF0631"/>
    <w:rsid w:val="00EF0671"/>
    <w:rsid w:val="00EF0721"/>
    <w:rsid w:val="00EF0CCD"/>
    <w:rsid w:val="00EF1324"/>
    <w:rsid w:val="00EF2EB3"/>
    <w:rsid w:val="00EF31C6"/>
    <w:rsid w:val="00EF3599"/>
    <w:rsid w:val="00EF3BE5"/>
    <w:rsid w:val="00EF4359"/>
    <w:rsid w:val="00EF436B"/>
    <w:rsid w:val="00EF45AA"/>
    <w:rsid w:val="00EF465E"/>
    <w:rsid w:val="00EF487D"/>
    <w:rsid w:val="00EF4F8B"/>
    <w:rsid w:val="00EF52F7"/>
    <w:rsid w:val="00EF5912"/>
    <w:rsid w:val="00EF612C"/>
    <w:rsid w:val="00EF6EC9"/>
    <w:rsid w:val="00EF7091"/>
    <w:rsid w:val="00EF72FF"/>
    <w:rsid w:val="00EF7333"/>
    <w:rsid w:val="00EF74BA"/>
    <w:rsid w:val="00EF7667"/>
    <w:rsid w:val="00EF7A37"/>
    <w:rsid w:val="00F0019C"/>
    <w:rsid w:val="00F0022F"/>
    <w:rsid w:val="00F00607"/>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13C"/>
    <w:rsid w:val="00F11194"/>
    <w:rsid w:val="00F116C6"/>
    <w:rsid w:val="00F11F73"/>
    <w:rsid w:val="00F12689"/>
    <w:rsid w:val="00F13B9F"/>
    <w:rsid w:val="00F14321"/>
    <w:rsid w:val="00F148BC"/>
    <w:rsid w:val="00F14E7F"/>
    <w:rsid w:val="00F167C8"/>
    <w:rsid w:val="00F16FA1"/>
    <w:rsid w:val="00F17125"/>
    <w:rsid w:val="00F1736A"/>
    <w:rsid w:val="00F1751E"/>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57D"/>
    <w:rsid w:val="00F35EA7"/>
    <w:rsid w:val="00F36C9A"/>
    <w:rsid w:val="00F374F4"/>
    <w:rsid w:val="00F37826"/>
    <w:rsid w:val="00F37883"/>
    <w:rsid w:val="00F37A87"/>
    <w:rsid w:val="00F37D8D"/>
    <w:rsid w:val="00F4174D"/>
    <w:rsid w:val="00F41810"/>
    <w:rsid w:val="00F4189C"/>
    <w:rsid w:val="00F4197E"/>
    <w:rsid w:val="00F419E2"/>
    <w:rsid w:val="00F41D6F"/>
    <w:rsid w:val="00F41ED1"/>
    <w:rsid w:val="00F4239C"/>
    <w:rsid w:val="00F42A62"/>
    <w:rsid w:val="00F42B92"/>
    <w:rsid w:val="00F432D9"/>
    <w:rsid w:val="00F43BE2"/>
    <w:rsid w:val="00F43FED"/>
    <w:rsid w:val="00F448FA"/>
    <w:rsid w:val="00F452CD"/>
    <w:rsid w:val="00F45357"/>
    <w:rsid w:val="00F45C5B"/>
    <w:rsid w:val="00F46888"/>
    <w:rsid w:val="00F46C1D"/>
    <w:rsid w:val="00F46F71"/>
    <w:rsid w:val="00F47037"/>
    <w:rsid w:val="00F47A9A"/>
    <w:rsid w:val="00F47DBA"/>
    <w:rsid w:val="00F510BE"/>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0A66"/>
    <w:rsid w:val="00F7107B"/>
    <w:rsid w:val="00F71918"/>
    <w:rsid w:val="00F71B8D"/>
    <w:rsid w:val="00F71E31"/>
    <w:rsid w:val="00F71FC2"/>
    <w:rsid w:val="00F7217A"/>
    <w:rsid w:val="00F7219E"/>
    <w:rsid w:val="00F72DA6"/>
    <w:rsid w:val="00F73D12"/>
    <w:rsid w:val="00F754FC"/>
    <w:rsid w:val="00F758E8"/>
    <w:rsid w:val="00F75BB2"/>
    <w:rsid w:val="00F760C2"/>
    <w:rsid w:val="00F762D9"/>
    <w:rsid w:val="00F762EA"/>
    <w:rsid w:val="00F76F7B"/>
    <w:rsid w:val="00F778AB"/>
    <w:rsid w:val="00F77F38"/>
    <w:rsid w:val="00F80158"/>
    <w:rsid w:val="00F8059B"/>
    <w:rsid w:val="00F806C8"/>
    <w:rsid w:val="00F80C2A"/>
    <w:rsid w:val="00F81137"/>
    <w:rsid w:val="00F81538"/>
    <w:rsid w:val="00F81652"/>
    <w:rsid w:val="00F8314A"/>
    <w:rsid w:val="00F834A0"/>
    <w:rsid w:val="00F8503D"/>
    <w:rsid w:val="00F85389"/>
    <w:rsid w:val="00F854B7"/>
    <w:rsid w:val="00F85E18"/>
    <w:rsid w:val="00F85FCA"/>
    <w:rsid w:val="00F8675B"/>
    <w:rsid w:val="00F8684E"/>
    <w:rsid w:val="00F86895"/>
    <w:rsid w:val="00F8700A"/>
    <w:rsid w:val="00F874CA"/>
    <w:rsid w:val="00F90E32"/>
    <w:rsid w:val="00F91148"/>
    <w:rsid w:val="00F91417"/>
    <w:rsid w:val="00F91F80"/>
    <w:rsid w:val="00F92D8D"/>
    <w:rsid w:val="00F92E5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9FC"/>
    <w:rsid w:val="00FA5B27"/>
    <w:rsid w:val="00FA6ADB"/>
    <w:rsid w:val="00FA6FC8"/>
    <w:rsid w:val="00FA7E7E"/>
    <w:rsid w:val="00FA7F21"/>
    <w:rsid w:val="00FB11A3"/>
    <w:rsid w:val="00FB140C"/>
    <w:rsid w:val="00FB19D8"/>
    <w:rsid w:val="00FB23C4"/>
    <w:rsid w:val="00FB2CAD"/>
    <w:rsid w:val="00FB2D5E"/>
    <w:rsid w:val="00FB3D25"/>
    <w:rsid w:val="00FB4D73"/>
    <w:rsid w:val="00FB53C2"/>
    <w:rsid w:val="00FB7094"/>
    <w:rsid w:val="00FB7698"/>
    <w:rsid w:val="00FB7FE3"/>
    <w:rsid w:val="00FC14FE"/>
    <w:rsid w:val="00FC1762"/>
    <w:rsid w:val="00FC2013"/>
    <w:rsid w:val="00FC25A0"/>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492"/>
    <w:rsid w:val="00FD279A"/>
    <w:rsid w:val="00FD294F"/>
    <w:rsid w:val="00FD3236"/>
    <w:rsid w:val="00FD3284"/>
    <w:rsid w:val="00FD33AD"/>
    <w:rsid w:val="00FD3B2B"/>
    <w:rsid w:val="00FD55FB"/>
    <w:rsid w:val="00FD5B8E"/>
    <w:rsid w:val="00FD60BA"/>
    <w:rsid w:val="00FD6565"/>
    <w:rsid w:val="00FD696D"/>
    <w:rsid w:val="00FD7B20"/>
    <w:rsid w:val="00FD7B63"/>
    <w:rsid w:val="00FD7B71"/>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C48"/>
    <w:rsid w:val="00FF412E"/>
    <w:rsid w:val="00FF413B"/>
    <w:rsid w:val="00FF45B9"/>
    <w:rsid w:val="00FF4CD3"/>
    <w:rsid w:val="00FF5659"/>
    <w:rsid w:val="00FF5709"/>
    <w:rsid w:val="00FF57CD"/>
    <w:rsid w:val="00FF7199"/>
    <w:rsid w:val="0A472F75"/>
    <w:rsid w:val="2B7A1C50"/>
    <w:rsid w:val="4CBC35C0"/>
    <w:rsid w:val="579CC859"/>
    <w:rsid w:val="62F528F1"/>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2.vsdx"/><Relationship Id="rId22" Type="http://schemas.openxmlformats.org/officeDocument/2006/relationships/image" Target="media/image10.pn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2FHT6SDPEKRM-335803755-40716</_dlc_DocId>
    <_dlc_DocIdUrl xmlns="12c87010-54c7-4968-977c-9bb319d35727">
      <Url>https://qualcomm.sharepoint.com/teams/SkyBer/_layouts/15/DocIdRedir.aspx?ID=2FHT6SDPEKRM-335803755-40716</Url>
      <Description>2FHT6SDPEKRM-335803755-40716</Description>
    </_dlc_DocIdUrl>
    <_dlc_DocIdPersistId xmlns="12c87010-54c7-4968-977c-9bb319d35727" xsi:nil="true"/>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s>
</ds:datastoreItem>
</file>

<file path=customXml/itemProps2.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3.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4.xml><?xml version="1.0" encoding="utf-8"?>
<ds:datastoreItem xmlns:ds="http://schemas.openxmlformats.org/officeDocument/2006/customXml" ds:itemID="{78AC4C61-56D4-4F4B-843A-AC3FF2D7F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7705</Words>
  <Characters>43924</Characters>
  <Application>Microsoft Office Word</Application>
  <DocSecurity>0</DocSecurity>
  <Lines>366</Lines>
  <Paragraphs>103</Paragraphs>
  <ScaleCrop>false</ScaleCrop>
  <Company/>
  <LinksUpToDate>false</LinksUpToDate>
  <CharactersWithSpaces>51526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17</cp:revision>
  <cp:lastPrinted>2019-09-26T18:16:00Z</cp:lastPrinted>
  <dcterms:created xsi:type="dcterms:W3CDTF">2021-08-06T17:38:00Z</dcterms:created>
  <dcterms:modified xsi:type="dcterms:W3CDTF">2021-08-06T17:53:00Z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17d7fbf3-35f1-408e-949e-8d906189bc74</vt:lpwstr>
  </property>
</Properties>
</file>